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05D" w:rsidRPr="00825254" w:rsidRDefault="00B812B8" w:rsidP="00F6105D">
      <w:pPr>
        <w:jc w:val="both"/>
        <w:rPr>
          <w:rFonts w:cstheme="minorHAnsi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Housing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825254">
        <w:rPr>
          <w:rFonts w:cs="Times-Roman"/>
          <w:sz w:val="24"/>
          <w:szCs w:val="24"/>
        </w:rPr>
        <w:t>30</w:t>
      </w:r>
      <w:r w:rsidR="007D732D" w:rsidRPr="007D732D">
        <w:rPr>
          <w:rFonts w:cs="Times-Roman"/>
          <w:sz w:val="24"/>
          <w:szCs w:val="24"/>
          <w:vertAlign w:val="superscript"/>
        </w:rPr>
        <w:t>t</w:t>
      </w:r>
      <w:r w:rsidR="007D732D">
        <w:rPr>
          <w:rFonts w:cs="Times-Roman"/>
          <w:sz w:val="24"/>
          <w:szCs w:val="24"/>
          <w:vertAlign w:val="superscript"/>
        </w:rPr>
        <w:t xml:space="preserve">h </w:t>
      </w:r>
      <w:r w:rsidR="00825254">
        <w:rPr>
          <w:rFonts w:cs="Times-Roman"/>
          <w:sz w:val="24"/>
          <w:szCs w:val="24"/>
        </w:rPr>
        <w:t xml:space="preserve">September </w:t>
      </w:r>
      <w:r w:rsidR="00C31988">
        <w:rPr>
          <w:rFonts w:cs="Times-Roman"/>
          <w:sz w:val="24"/>
          <w:szCs w:val="24"/>
        </w:rPr>
        <w:t>2019,</w:t>
      </w:r>
      <w:r w:rsidRPr="00B812B8">
        <w:rPr>
          <w:rFonts w:cs="Times-Roman"/>
          <w:sz w:val="24"/>
          <w:szCs w:val="24"/>
        </w:rPr>
        <w:t xml:space="preserve"> for recovery of </w:t>
      </w:r>
      <w:r w:rsidRPr="00DD2853">
        <w:rPr>
          <w:rFonts w:cs="Times-Roman"/>
          <w:b/>
          <w:sz w:val="24"/>
          <w:szCs w:val="24"/>
        </w:rPr>
        <w:t>Rs.</w:t>
      </w:r>
      <w:r w:rsidR="00DD2853">
        <w:rPr>
          <w:rFonts w:cs="Times-Roman"/>
          <w:b/>
          <w:sz w:val="24"/>
          <w:szCs w:val="24"/>
        </w:rPr>
        <w:t>21,26,336</w:t>
      </w:r>
      <w:r w:rsidR="00825254" w:rsidRPr="00945DC3">
        <w:rPr>
          <w:rFonts w:cstheme="minorHAnsi"/>
          <w:b/>
        </w:rPr>
        <w:t>/-</w:t>
      </w:r>
      <w:r w:rsidR="00AE5044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Housing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r w:rsidR="00DD2853" w:rsidRPr="007B53FD">
        <w:rPr>
          <w:rFonts w:ascii="Bookman Old Style" w:hAnsi="Bookman Old Style" w:cstheme="minorHAnsi"/>
          <w:b/>
          <w:color w:val="000000" w:themeColor="text1"/>
        </w:rPr>
        <w:t>Mr. GAURAV MANEK And Mrs. RUPALI GAURAV MANEK.</w:t>
      </w:r>
      <w:r w:rsidRPr="00B812B8">
        <w:rPr>
          <w:rFonts w:cs="Times-Roman"/>
          <w:sz w:val="24"/>
          <w:szCs w:val="24"/>
        </w:rPr>
        <w:t xml:space="preserve"> The reserve price will be </w:t>
      </w:r>
      <w:r w:rsidRPr="00DD2853">
        <w:rPr>
          <w:rFonts w:cs="Times-Roman"/>
          <w:b/>
          <w:sz w:val="24"/>
          <w:szCs w:val="24"/>
        </w:rPr>
        <w:t>R</w:t>
      </w:r>
      <w:r w:rsidR="00825254" w:rsidRPr="00DD2853">
        <w:rPr>
          <w:rFonts w:cs="Times-Roman"/>
          <w:b/>
          <w:sz w:val="24"/>
          <w:szCs w:val="24"/>
        </w:rPr>
        <w:t>s</w:t>
      </w:r>
      <w:r w:rsidR="00DD2853" w:rsidRPr="00DD2853">
        <w:rPr>
          <w:rFonts w:cs="Times-Roman"/>
          <w:b/>
          <w:sz w:val="24"/>
          <w:szCs w:val="24"/>
        </w:rPr>
        <w:t>.32,60,439</w:t>
      </w:r>
      <w:r w:rsidR="00AE5044" w:rsidRPr="00DD2853">
        <w:rPr>
          <w:rFonts w:cs="Times-Roman"/>
          <w:b/>
          <w:sz w:val="24"/>
          <w:szCs w:val="24"/>
        </w:rPr>
        <w:t>/-</w:t>
      </w:r>
      <w:r w:rsidR="00DD2853">
        <w:rPr>
          <w:rFonts w:cs="Times-Roman"/>
          <w:b/>
          <w:sz w:val="24"/>
          <w:szCs w:val="24"/>
        </w:rPr>
        <w:t xml:space="preserve"> </w:t>
      </w:r>
      <w:r w:rsidR="00F6105D">
        <w:rPr>
          <w:rFonts w:cs="Times-Roman"/>
          <w:sz w:val="24"/>
          <w:szCs w:val="24"/>
        </w:rPr>
        <w:t>(</w:t>
      </w:r>
      <w:r w:rsidR="00DD2853">
        <w:rPr>
          <w:rFonts w:cs="Times-Roman"/>
          <w:sz w:val="24"/>
          <w:szCs w:val="24"/>
        </w:rPr>
        <w:t xml:space="preserve">Rupees Thirty Two Lakhs </w:t>
      </w:r>
      <w:r w:rsidR="00825254">
        <w:rPr>
          <w:rFonts w:cs="Times-Roman"/>
          <w:sz w:val="24"/>
          <w:szCs w:val="24"/>
        </w:rPr>
        <w:t>Six</w:t>
      </w:r>
      <w:r w:rsidR="00DD2853">
        <w:rPr>
          <w:rFonts w:cs="Times-Roman"/>
          <w:sz w:val="24"/>
          <w:szCs w:val="24"/>
        </w:rPr>
        <w:t>ty</w:t>
      </w:r>
      <w:r w:rsidR="00825254">
        <w:rPr>
          <w:rFonts w:cs="Times-Roman"/>
          <w:sz w:val="24"/>
          <w:szCs w:val="24"/>
        </w:rPr>
        <w:t xml:space="preserve"> thousand </w:t>
      </w:r>
      <w:r w:rsidR="00DD2853">
        <w:rPr>
          <w:rFonts w:cs="Times-Roman"/>
          <w:sz w:val="24"/>
          <w:szCs w:val="24"/>
        </w:rPr>
        <w:t>Four</w:t>
      </w:r>
      <w:r w:rsidR="00F6105D">
        <w:rPr>
          <w:rFonts w:cs="Times-Roman"/>
          <w:sz w:val="24"/>
          <w:szCs w:val="24"/>
        </w:rPr>
        <w:t xml:space="preserve"> hundred </w:t>
      </w:r>
      <w:r w:rsidR="00DD2853">
        <w:rPr>
          <w:rFonts w:cs="Times-Roman"/>
          <w:sz w:val="24"/>
          <w:szCs w:val="24"/>
        </w:rPr>
        <w:t xml:space="preserve">and Thirty Nine </w:t>
      </w:r>
      <w:r w:rsidR="007D732D">
        <w:rPr>
          <w:rFonts w:cs="Times-Roman"/>
          <w:sz w:val="24"/>
          <w:szCs w:val="24"/>
        </w:rPr>
        <w:t>only)</w:t>
      </w:r>
      <w:r w:rsidR="00AE5044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proofErr w:type="gramStart"/>
      <w:r w:rsidRPr="00F6105D">
        <w:rPr>
          <w:rFonts w:cstheme="minorHAnsi"/>
        </w:rPr>
        <w:t>be</w:t>
      </w:r>
      <w:r w:rsidR="00F6105D" w:rsidRPr="00F6105D">
        <w:rPr>
          <w:rFonts w:cstheme="minorHAnsi"/>
        </w:rPr>
        <w:t xml:space="preserve">  </w:t>
      </w:r>
      <w:r w:rsidR="00DD2853">
        <w:rPr>
          <w:rFonts w:ascii="Bookman Old Style" w:hAnsi="Bookman Old Style" w:cs="Times-Roman"/>
          <w:b/>
          <w:color w:val="000000" w:themeColor="text1"/>
          <w:highlight w:val="yellow"/>
        </w:rPr>
        <w:t>Rs</w:t>
      </w:r>
      <w:proofErr w:type="gramEnd"/>
      <w:r w:rsidR="00DD2853">
        <w:rPr>
          <w:rFonts w:ascii="Bookman Old Style" w:hAnsi="Bookman Old Style" w:cs="Times-Roman"/>
          <w:b/>
          <w:color w:val="000000" w:themeColor="text1"/>
          <w:highlight w:val="yellow"/>
        </w:rPr>
        <w:t>.1,63,022 /- (Rupees One</w:t>
      </w:r>
      <w:r w:rsidR="00DD2853" w:rsidRPr="00A80D75">
        <w:rPr>
          <w:rFonts w:ascii="Bookman Old Style" w:hAnsi="Bookman Old Style" w:cs="Times-Roman"/>
          <w:b/>
          <w:color w:val="000000" w:themeColor="text1"/>
          <w:highlight w:val="yellow"/>
        </w:rPr>
        <w:t xml:space="preserve"> </w:t>
      </w:r>
      <w:r w:rsidR="00DD2853">
        <w:rPr>
          <w:rFonts w:ascii="Bookman Old Style" w:hAnsi="Bookman Old Style" w:cs="Times-Roman"/>
          <w:b/>
          <w:color w:val="000000" w:themeColor="text1"/>
          <w:highlight w:val="yellow"/>
        </w:rPr>
        <w:t xml:space="preserve">Lakh Sixty Three </w:t>
      </w:r>
      <w:r w:rsidR="00DD2853" w:rsidRPr="00A80D75">
        <w:rPr>
          <w:rFonts w:ascii="Bookman Old Style" w:hAnsi="Bookman Old Style" w:cs="Times-Roman"/>
          <w:b/>
          <w:color w:val="000000" w:themeColor="text1"/>
          <w:highlight w:val="yellow"/>
        </w:rPr>
        <w:t xml:space="preserve">Thousand </w:t>
      </w:r>
      <w:r w:rsidR="00DD2853">
        <w:rPr>
          <w:rFonts w:ascii="Bookman Old Style" w:hAnsi="Bookman Old Style" w:cs="Times-Roman"/>
          <w:b/>
          <w:color w:val="000000" w:themeColor="text1"/>
          <w:highlight w:val="yellow"/>
        </w:rPr>
        <w:t xml:space="preserve">And Twenty Two </w:t>
      </w:r>
      <w:r w:rsidR="00DD2853" w:rsidRPr="00A80D75">
        <w:rPr>
          <w:rFonts w:ascii="Bookman Old Style" w:hAnsi="Bookman Old Style" w:cs="Times-Roman"/>
          <w:b/>
          <w:color w:val="000000" w:themeColor="text1"/>
          <w:highlight w:val="yellow"/>
        </w:rPr>
        <w:t>Only).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DD2853" w:rsidRPr="00452B6B" w:rsidRDefault="00DD2853" w:rsidP="00DD2853">
      <w:pPr>
        <w:pBdr>
          <w:bottom w:val="single" w:sz="6" w:space="1" w:color="auto"/>
        </w:pBdr>
        <w:spacing w:line="240" w:lineRule="auto"/>
        <w:rPr>
          <w:rFonts w:ascii="Calibri" w:hAnsi="Calibri" w:cs="Calibri"/>
        </w:rPr>
      </w:pPr>
      <w:r w:rsidRPr="00C54A88">
        <w:rPr>
          <w:rFonts w:ascii="Calibri" w:hAnsi="Calibri"/>
          <w:sz w:val="24"/>
          <w:szCs w:val="24"/>
        </w:rPr>
        <w:t xml:space="preserve">All That Piece of land of </w:t>
      </w:r>
      <w:r>
        <w:rPr>
          <w:rFonts w:ascii="Calibri" w:hAnsi="Calibri" w:cs="Calibri"/>
        </w:rPr>
        <w:t>7</w:t>
      </w:r>
      <w:r w:rsidRPr="00DD535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Floor, Flat No. 703, </w:t>
      </w:r>
      <w:proofErr w:type="spellStart"/>
      <w:r>
        <w:rPr>
          <w:rFonts w:ascii="Calibri" w:hAnsi="Calibri" w:cs="Calibri"/>
        </w:rPr>
        <w:t>Tah</w:t>
      </w:r>
      <w:proofErr w:type="spellEnd"/>
      <w:r>
        <w:rPr>
          <w:rFonts w:ascii="Calibri" w:hAnsi="Calibri" w:cs="Calibri"/>
        </w:rPr>
        <w:t xml:space="preserve">. Nagpur (Rural), </w:t>
      </w:r>
      <w:r w:rsidRPr="00452B6B">
        <w:rPr>
          <w:rFonts w:ascii="Calibri" w:hAnsi="Calibri" w:cs="Calibri"/>
          <w:b/>
        </w:rPr>
        <w:t>WOODS</w:t>
      </w:r>
      <w:r>
        <w:rPr>
          <w:rFonts w:ascii="Calibri" w:hAnsi="Calibri" w:cs="Calibri"/>
        </w:rPr>
        <w:t xml:space="preserve"> </w:t>
      </w:r>
      <w:r w:rsidRPr="00452B6B">
        <w:rPr>
          <w:rFonts w:ascii="Calibri" w:hAnsi="Calibri" w:cs="Calibri"/>
          <w:b/>
        </w:rPr>
        <w:t>Tower</w:t>
      </w:r>
      <w:r>
        <w:rPr>
          <w:rFonts w:ascii="Calibri" w:hAnsi="Calibri" w:cs="Calibri"/>
        </w:rPr>
        <w:t xml:space="preserve">, Block E, Building Known </w:t>
      </w:r>
      <w:proofErr w:type="gramStart"/>
      <w:r>
        <w:rPr>
          <w:rFonts w:ascii="Calibri" w:hAnsi="Calibri" w:cs="Calibri"/>
        </w:rPr>
        <w:t>As</w:t>
      </w:r>
      <w:proofErr w:type="gramEnd"/>
      <w:r>
        <w:rPr>
          <w:rFonts w:ascii="Calibri" w:hAnsi="Calibri" w:cs="Calibri"/>
        </w:rPr>
        <w:t xml:space="preserve"> Teak, Scheme Known As </w:t>
      </w:r>
      <w:proofErr w:type="spellStart"/>
      <w:r>
        <w:rPr>
          <w:rFonts w:ascii="Calibri" w:hAnsi="Calibri" w:cs="Calibri"/>
        </w:rPr>
        <w:t>Moraj</w:t>
      </w:r>
      <w:proofErr w:type="spellEnd"/>
      <w:r>
        <w:rPr>
          <w:rFonts w:ascii="Calibri" w:hAnsi="Calibri" w:cs="Calibri"/>
        </w:rPr>
        <w:t xml:space="preserve"> Waterfall Gateway, Notified Area Of </w:t>
      </w:r>
      <w:proofErr w:type="spellStart"/>
      <w:r>
        <w:rPr>
          <w:rFonts w:ascii="Calibri" w:hAnsi="Calibri" w:cs="Calibri"/>
        </w:rPr>
        <w:t>Mihan</w:t>
      </w:r>
      <w:proofErr w:type="spellEnd"/>
      <w:r>
        <w:rPr>
          <w:rFonts w:ascii="Calibri" w:hAnsi="Calibri" w:cs="Calibri"/>
        </w:rPr>
        <w:t xml:space="preserve"> At </w:t>
      </w:r>
      <w:proofErr w:type="spellStart"/>
      <w:r>
        <w:rPr>
          <w:rFonts w:ascii="Calibri" w:hAnsi="Calibri" w:cs="Calibri"/>
        </w:rPr>
        <w:t>Mouza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Khapari</w:t>
      </w:r>
      <w:proofErr w:type="spellEnd"/>
      <w:r>
        <w:rPr>
          <w:rFonts w:ascii="Calibri" w:hAnsi="Calibri" w:cs="Calibri"/>
        </w:rPr>
        <w:t xml:space="preserve"> (railway) Nagpur Residential Plot Bearing Survey No. 30 (Part), 33 (Part), 34 (Part), &amp; 35 (Part). Government Land </w:t>
      </w:r>
      <w:proofErr w:type="spellStart"/>
      <w:r>
        <w:rPr>
          <w:rFonts w:ascii="Calibri" w:hAnsi="Calibri" w:cs="Calibri"/>
        </w:rPr>
        <w:t>Nalla</w:t>
      </w:r>
      <w:proofErr w:type="spellEnd"/>
      <w:r>
        <w:rPr>
          <w:rFonts w:ascii="Calibri" w:hAnsi="Calibri" w:cs="Calibri"/>
        </w:rPr>
        <w:t xml:space="preserve"> (Part), In </w:t>
      </w:r>
      <w:proofErr w:type="spellStart"/>
      <w:r>
        <w:rPr>
          <w:rFonts w:ascii="Calibri" w:hAnsi="Calibri" w:cs="Calibri"/>
        </w:rPr>
        <w:t>Mihan</w:t>
      </w:r>
      <w:proofErr w:type="spellEnd"/>
      <w:r>
        <w:rPr>
          <w:rFonts w:ascii="Calibri" w:hAnsi="Calibri" w:cs="Calibri"/>
        </w:rPr>
        <w:t>, Nagpur, Maharashtra, India -4</w:t>
      </w:r>
      <w:r>
        <w:rPr>
          <w:rFonts w:ascii="Calibri" w:hAnsi="Calibri" w:cs="Calibri"/>
        </w:rPr>
        <w:t xml:space="preserve">40016 </w:t>
      </w:r>
      <w:r>
        <w:rPr>
          <w:rFonts w:ascii="Calibri" w:hAnsi="Calibri" w:cs="Calibri"/>
        </w:rPr>
        <w:t xml:space="preserve">Apartment 703, </w:t>
      </w:r>
      <w:proofErr w:type="spellStart"/>
      <w:r>
        <w:rPr>
          <w:rFonts w:ascii="Calibri" w:hAnsi="Calibri" w:cs="Calibri"/>
        </w:rPr>
        <w:t>adm.</w:t>
      </w:r>
      <w:proofErr w:type="spellEnd"/>
      <w:r>
        <w:rPr>
          <w:rFonts w:ascii="Calibri" w:hAnsi="Calibri" w:cs="Calibri"/>
        </w:rPr>
        <w:t xml:space="preserve"> 71.90sq.mt. (Carpet area) (equivalent to 774 </w:t>
      </w:r>
      <w:proofErr w:type="spellStart"/>
      <w:r>
        <w:rPr>
          <w:rFonts w:ascii="Calibri" w:hAnsi="Calibri" w:cs="Calibri"/>
        </w:rPr>
        <w:t>sq.ft</w:t>
      </w:r>
      <w:proofErr w:type="spellEnd"/>
      <w:r>
        <w:rPr>
          <w:rFonts w:ascii="Calibri" w:hAnsi="Calibri" w:cs="Calibri"/>
        </w:rPr>
        <w:t>.), On 7</w:t>
      </w:r>
      <w:r w:rsidRPr="00452B6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Floor in Block-E Teak Woods Towers – </w:t>
      </w:r>
      <w:proofErr w:type="spellStart"/>
      <w:r>
        <w:rPr>
          <w:rFonts w:ascii="Calibri" w:hAnsi="Calibri" w:cs="Calibri"/>
        </w:rPr>
        <w:t>Moraj</w:t>
      </w:r>
      <w:proofErr w:type="spellEnd"/>
      <w:r>
        <w:rPr>
          <w:rFonts w:ascii="Calibri" w:hAnsi="Calibri" w:cs="Calibri"/>
        </w:rPr>
        <w:t xml:space="preserve"> Waterfall Gateway, Constructed on </w:t>
      </w:r>
      <w:proofErr w:type="spellStart"/>
      <w:r>
        <w:rPr>
          <w:rFonts w:ascii="Calibri" w:hAnsi="Calibri" w:cs="Calibri"/>
        </w:rPr>
        <w:t>Kh</w:t>
      </w:r>
      <w:proofErr w:type="spellEnd"/>
      <w:r>
        <w:rPr>
          <w:rFonts w:ascii="Calibri" w:hAnsi="Calibri" w:cs="Calibri"/>
        </w:rPr>
        <w:t>. No. 30 (Part</w:t>
      </w:r>
      <w:proofErr w:type="gramStart"/>
      <w:r>
        <w:rPr>
          <w:rFonts w:ascii="Calibri" w:hAnsi="Calibri" w:cs="Calibri"/>
        </w:rPr>
        <w:t>) ,</w:t>
      </w:r>
      <w:proofErr w:type="gramEnd"/>
      <w:r>
        <w:rPr>
          <w:rFonts w:ascii="Calibri" w:hAnsi="Calibri" w:cs="Calibri"/>
        </w:rPr>
        <w:t xml:space="preserve"> 31(Part), 33 (Part), 34 (Part), &amp; 35 (Part), Adm.32374.80 sq. </w:t>
      </w:r>
      <w:proofErr w:type="spellStart"/>
      <w:r>
        <w:rPr>
          <w:rFonts w:ascii="Calibri" w:hAnsi="Calibri" w:cs="Calibri"/>
        </w:rPr>
        <w:t>mtr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Govt</w:t>
      </w:r>
      <w:proofErr w:type="spellEnd"/>
      <w:r>
        <w:rPr>
          <w:rFonts w:ascii="Calibri" w:hAnsi="Calibri" w:cs="Calibri"/>
        </w:rPr>
        <w:t xml:space="preserve"> Land </w:t>
      </w:r>
      <w:proofErr w:type="spellStart"/>
      <w:r>
        <w:rPr>
          <w:rFonts w:ascii="Calibri" w:hAnsi="Calibri" w:cs="Calibri"/>
        </w:rPr>
        <w:t>Nallah</w:t>
      </w:r>
      <w:proofErr w:type="spellEnd"/>
      <w:r>
        <w:rPr>
          <w:rFonts w:ascii="Calibri" w:hAnsi="Calibri" w:cs="Calibri"/>
        </w:rPr>
        <w:t xml:space="preserve"> (part) of </w:t>
      </w:r>
      <w:proofErr w:type="spellStart"/>
      <w:r>
        <w:rPr>
          <w:rFonts w:ascii="Calibri" w:hAnsi="Calibri" w:cs="Calibri"/>
        </w:rPr>
        <w:t>Mz</w:t>
      </w:r>
      <w:proofErr w:type="spellEnd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Khapri</w:t>
      </w:r>
      <w:proofErr w:type="spellEnd"/>
      <w:r>
        <w:rPr>
          <w:rFonts w:ascii="Calibri" w:hAnsi="Calibri" w:cs="Calibri"/>
        </w:rPr>
        <w:t xml:space="preserve">, situated within Village </w:t>
      </w:r>
      <w:proofErr w:type="spellStart"/>
      <w:r>
        <w:rPr>
          <w:rFonts w:ascii="Calibri" w:hAnsi="Calibri" w:cs="Calibri"/>
        </w:rPr>
        <w:t>Khapri</w:t>
      </w:r>
      <w:proofErr w:type="spellEnd"/>
      <w:r>
        <w:rPr>
          <w:rFonts w:ascii="Calibri" w:hAnsi="Calibri" w:cs="Calibri"/>
        </w:rPr>
        <w:t xml:space="preserve"> (Railway) in MIHAN notified Area, </w:t>
      </w:r>
      <w:proofErr w:type="spellStart"/>
      <w:r>
        <w:rPr>
          <w:rFonts w:ascii="Calibri" w:hAnsi="Calibri" w:cs="Calibri"/>
        </w:rPr>
        <w:t>Tah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Dist</w:t>
      </w:r>
      <w:proofErr w:type="spellEnd"/>
      <w:r>
        <w:rPr>
          <w:rFonts w:ascii="Calibri" w:hAnsi="Calibri" w:cs="Calibri"/>
        </w:rPr>
        <w:t xml:space="preserve"> – Nagpur.</w:t>
      </w:r>
      <w:bookmarkStart w:id="0" w:name="_GoBack"/>
      <w:bookmarkEnd w:id="0"/>
    </w:p>
    <w:p w:rsidR="00DD2853" w:rsidRPr="00B31E6F" w:rsidRDefault="00DD2853" w:rsidP="00DD2853">
      <w:pPr>
        <w:pStyle w:val="ListParagraph"/>
        <w:ind w:left="0"/>
        <w:rPr>
          <w:rFonts w:ascii="Bookman Old Style" w:eastAsiaTheme="minorHAnsi" w:hAnsi="Bookman Old Style" w:cs="Times-Roman"/>
          <w:color w:val="000000" w:themeColor="text1"/>
          <w:sz w:val="22"/>
          <w:szCs w:val="22"/>
          <w:lang w:val="en-US" w:eastAsia="en-US"/>
        </w:rPr>
      </w:pPr>
    </w:p>
    <w:p w:rsidR="00DD2853" w:rsidRPr="00061E29" w:rsidRDefault="00DD2853" w:rsidP="00DD2853">
      <w:pPr>
        <w:pStyle w:val="ListParagraph"/>
        <w:ind w:left="0"/>
        <w:rPr>
          <w:rFonts w:eastAsia="Times New Roman" w:cs="Arial"/>
          <w:b/>
          <w:sz w:val="24"/>
          <w:szCs w:val="24"/>
          <w:lang w:val="en-US"/>
        </w:rPr>
      </w:pPr>
      <w:r w:rsidRPr="00061E29">
        <w:rPr>
          <w:rFonts w:cs="Arial"/>
          <w:b/>
          <w:sz w:val="24"/>
          <w:szCs w:val="24"/>
        </w:rPr>
        <w:t>Bounded :</w:t>
      </w:r>
    </w:p>
    <w:p w:rsidR="00DD2853" w:rsidRPr="00061E29" w:rsidRDefault="00DD2853" w:rsidP="00DD2853">
      <w:pPr>
        <w:pStyle w:val="BodyText"/>
        <w:rPr>
          <w:rFonts w:ascii="Calibri" w:hAnsi="Calibri" w:cs="Arial"/>
          <w:sz w:val="24"/>
          <w:szCs w:val="24"/>
        </w:rPr>
      </w:pPr>
      <w:r w:rsidRPr="00061E29">
        <w:rPr>
          <w:rFonts w:ascii="Calibri" w:hAnsi="Calibri" w:cs="Arial"/>
          <w:sz w:val="24"/>
          <w:szCs w:val="24"/>
        </w:rPr>
        <w:t xml:space="preserve">On the East by: </w:t>
      </w:r>
      <w:r>
        <w:rPr>
          <w:rFonts w:ascii="Calibri" w:hAnsi="Calibri" w:cs="Arial"/>
          <w:sz w:val="24"/>
          <w:szCs w:val="24"/>
        </w:rPr>
        <w:t xml:space="preserve">      Proposed Development </w:t>
      </w:r>
    </w:p>
    <w:p w:rsidR="00DD2853" w:rsidRPr="00061E29" w:rsidRDefault="00DD2853" w:rsidP="00DD2853">
      <w:pPr>
        <w:pStyle w:val="BodyText"/>
        <w:rPr>
          <w:rFonts w:ascii="Calibri" w:hAnsi="Calibri" w:cs="Arial"/>
          <w:sz w:val="24"/>
          <w:szCs w:val="24"/>
        </w:rPr>
      </w:pPr>
      <w:r w:rsidRPr="00061E29">
        <w:rPr>
          <w:rFonts w:ascii="Calibri" w:hAnsi="Calibri" w:cs="Arial"/>
          <w:sz w:val="24"/>
          <w:szCs w:val="24"/>
        </w:rPr>
        <w:t xml:space="preserve">On the West by: </w:t>
      </w:r>
      <w:r>
        <w:rPr>
          <w:rFonts w:ascii="Calibri" w:hAnsi="Calibri" w:cs="Arial"/>
          <w:sz w:val="24"/>
          <w:szCs w:val="24"/>
        </w:rPr>
        <w:t xml:space="preserve">    Channel and Road</w:t>
      </w:r>
    </w:p>
    <w:p w:rsidR="00DD2853" w:rsidRDefault="00DD2853" w:rsidP="00DD2853">
      <w:pPr>
        <w:pStyle w:val="BodyText"/>
        <w:rPr>
          <w:rFonts w:ascii="Calibri" w:hAnsi="Calibri" w:cs="Arial"/>
          <w:sz w:val="24"/>
          <w:szCs w:val="24"/>
        </w:rPr>
      </w:pPr>
      <w:r w:rsidRPr="00061E29">
        <w:rPr>
          <w:rFonts w:ascii="Calibri" w:hAnsi="Calibri" w:cs="Arial"/>
          <w:sz w:val="24"/>
          <w:szCs w:val="24"/>
        </w:rPr>
        <w:t xml:space="preserve">On the North by: </w:t>
      </w:r>
      <w:r>
        <w:rPr>
          <w:rFonts w:ascii="Calibri" w:hAnsi="Calibri" w:cs="Arial"/>
          <w:sz w:val="24"/>
          <w:szCs w:val="24"/>
        </w:rPr>
        <w:t xml:space="preserve">   Proposed Two Lane Road</w:t>
      </w:r>
    </w:p>
    <w:p w:rsidR="00DD2853" w:rsidRPr="00061E29" w:rsidRDefault="00DD2853" w:rsidP="00DD2853">
      <w:pPr>
        <w:pStyle w:val="BodyText"/>
        <w:rPr>
          <w:rFonts w:ascii="Calibri" w:hAnsi="Calibri" w:cs="Arial"/>
          <w:sz w:val="24"/>
          <w:szCs w:val="24"/>
        </w:rPr>
      </w:pPr>
      <w:r w:rsidRPr="00061E29">
        <w:rPr>
          <w:rFonts w:ascii="Calibri" w:hAnsi="Calibri" w:cs="Arial"/>
          <w:sz w:val="24"/>
          <w:szCs w:val="24"/>
        </w:rPr>
        <w:t xml:space="preserve">On the South by: </w:t>
      </w:r>
      <w:r>
        <w:rPr>
          <w:rFonts w:ascii="Calibri" w:hAnsi="Calibri" w:cs="Arial"/>
          <w:sz w:val="24"/>
          <w:szCs w:val="24"/>
        </w:rPr>
        <w:t xml:space="preserve">   Proposed Development</w:t>
      </w:r>
    </w:p>
    <w:p w:rsidR="00DD2853" w:rsidRPr="00B31E6F" w:rsidRDefault="00DD2853" w:rsidP="00DD2853">
      <w:pPr>
        <w:pBdr>
          <w:bottom w:val="single" w:sz="6" w:space="1" w:color="auto"/>
        </w:pBdr>
        <w:rPr>
          <w:rFonts w:ascii="Bookman Old Style" w:hAnsi="Bookman Old Style" w:cs="Times-Roman"/>
          <w:color w:val="000000" w:themeColor="text1"/>
        </w:rPr>
      </w:pPr>
      <w:r w:rsidRPr="00B31E6F">
        <w:rPr>
          <w:rFonts w:ascii="Bookman Old Style" w:hAnsi="Bookman Old Style" w:cs="Times-Roman"/>
          <w:color w:val="000000" w:themeColor="text1"/>
        </w:rPr>
        <w:t xml:space="preserve"> </w:t>
      </w:r>
    </w:p>
    <w:p w:rsidR="00AE5044" w:rsidRDefault="00DD2853" w:rsidP="00DD2853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31E6F">
        <w:rPr>
          <w:rFonts w:ascii="Bookman Old Style" w:hAnsi="Bookman Old Style" w:cs="Times-Roman"/>
          <w:color w:val="000000" w:themeColor="text1"/>
        </w:rPr>
        <w:t xml:space="preserve"> </w:t>
      </w: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A454A1" w:rsidRPr="00A454A1">
        <w:t>housing</w:t>
      </w:r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lastRenderedPageBreak/>
        <w:t>Authorised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Aditya Birla </w:t>
      </w:r>
      <w:r w:rsidR="00CB33EC">
        <w:rPr>
          <w:rFonts w:cs="Times-Roman"/>
          <w:sz w:val="24"/>
          <w:szCs w:val="24"/>
        </w:rPr>
        <w:t xml:space="preserve">Housing </w:t>
      </w:r>
      <w:r>
        <w:rPr>
          <w:rFonts w:cs="Times-Roman"/>
          <w:sz w:val="24"/>
          <w:szCs w:val="24"/>
        </w:rPr>
        <w:t>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Nagpur</w:t>
      </w:r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19560C"/>
    <w:rsid w:val="003574F3"/>
    <w:rsid w:val="00405EC8"/>
    <w:rsid w:val="00590E36"/>
    <w:rsid w:val="006C6BA2"/>
    <w:rsid w:val="007D732D"/>
    <w:rsid w:val="00825254"/>
    <w:rsid w:val="008B0241"/>
    <w:rsid w:val="008E7398"/>
    <w:rsid w:val="009045B6"/>
    <w:rsid w:val="009E4C7F"/>
    <w:rsid w:val="00A454A1"/>
    <w:rsid w:val="00A86D1D"/>
    <w:rsid w:val="00AE5044"/>
    <w:rsid w:val="00B812B8"/>
    <w:rsid w:val="00C027D9"/>
    <w:rsid w:val="00C31988"/>
    <w:rsid w:val="00CB33EC"/>
    <w:rsid w:val="00DD2853"/>
    <w:rsid w:val="00E93C87"/>
    <w:rsid w:val="00EF0ABD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F9F0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D2853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DD2853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Vishal Rangari</cp:lastModifiedBy>
  <cp:revision>5</cp:revision>
  <dcterms:created xsi:type="dcterms:W3CDTF">2019-07-03T08:16:00Z</dcterms:created>
  <dcterms:modified xsi:type="dcterms:W3CDTF">2019-09-10T15:17:00Z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