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080" w:leader="none"/>
        </w:tabs>
        <w:rPr>
          <w:sz w:val="32"/>
          <w:u w:val="single"/>
          <w:b/>
          <w:sz w:val="32"/>
          <w:b/>
          <w:rFonts w:ascii="Calibri" w:hAnsi="Calibri" w:cs="Tahoma"/>
        </w:rPr>
      </w:pPr>
      <w:r>
        <w:rPr>
          <w:rFonts w:cs="Tahoma" w:ascii="Calibri" w:hAnsi="Calibri"/>
          <w:b/>
          <w:sz w:val="16"/>
          <w:szCs w:val="16"/>
        </w:rPr>
        <w:t xml:space="preserve">                                                                  </w:t>
      </w:r>
      <w:r>
        <w:rPr>
          <w:rFonts w:cs="Tahoma" w:ascii="Calibri" w:hAnsi="Calibri"/>
          <w:b/>
          <w:sz w:val="32"/>
          <w:u w:val="single"/>
          <w:shd w:fill="FFFF00" w:val="clear"/>
        </w:rPr>
        <w:t>ADITYA BIRLA HOUSING FINANCE LTD.</w:t>
      </w:r>
      <w:r/>
    </w:p>
    <w:p>
      <w:pPr>
        <w:pStyle w:val="Normal"/>
        <w:tabs>
          <w:tab w:val="left" w:pos="1080" w:leader="none"/>
        </w:tabs>
        <w:rPr>
          <w:sz w:val="20"/>
          <w:u w:val="single"/>
          <w:b/>
          <w:sz w:val="20"/>
          <w:b/>
          <w:szCs w:val="16"/>
          <w:rFonts w:ascii="Calibri" w:hAnsi="Calibri" w:eastAsia="Times New Roman" w:cs="Tahoma"/>
          <w:lang w:val="en-US"/>
        </w:rPr>
      </w:pPr>
      <w:r>
        <w:rPr>
          <w:rFonts w:cs="Tahoma" w:ascii="Calibri" w:hAnsi="Calibri"/>
          <w:b/>
          <w:sz w:val="20"/>
          <w:szCs w:val="16"/>
          <w:u w:val="single"/>
        </w:rPr>
      </w:r>
      <w:r/>
    </w:p>
    <w:p>
      <w:pPr>
        <w:pStyle w:val="Normal"/>
        <w:rPr>
          <w:sz w:val="20"/>
          <w:b/>
          <w:sz w:val="20"/>
          <w:b/>
          <w:szCs w:val="16"/>
          <w:rFonts w:ascii="Calibri" w:hAnsi="Calibri" w:cs="Tahoma"/>
        </w:rPr>
      </w:pPr>
      <w:r>
        <w:rPr>
          <w:rFonts w:cs="Tahoma" w:ascii="Calibri" w:hAnsi="Calibri"/>
          <w:b/>
          <w:sz w:val="20"/>
          <w:szCs w:val="16"/>
        </w:rPr>
        <w:t>Registered Office: Indian Rayon Compound, Veraval, Gujarat 362 266.</w:t>
      </w:r>
      <w:r/>
    </w:p>
    <w:p>
      <w:pPr>
        <w:pStyle w:val="Normal"/>
      </w:pPr>
      <w:r>
        <w:rPr>
          <w:rFonts w:cs="Tahoma" w:ascii="Calibri" w:hAnsi="Calibri"/>
          <w:b/>
          <w:sz w:val="20"/>
          <w:szCs w:val="16"/>
        </w:rPr>
        <w:t xml:space="preserve">Branch Office: </w:t>
      </w:r>
      <w:r>
        <w:rPr>
          <w:rFonts w:ascii="Calibri" w:hAnsi="Calibri"/>
          <w:b/>
          <w:sz w:val="20"/>
        </w:rPr>
        <w:t>Aditya Birla Finance Ltd,</w:t>
      </w:r>
      <w:r>
        <w:rPr>
          <w:rFonts w:ascii="Bitstream Charter" w:hAnsi="Bitstream Charter"/>
          <w:b w:val="false"/>
          <w:i w:val="false"/>
          <w:strike w:val="false"/>
          <w:dstrike w:val="false"/>
          <w:outline w:val="false"/>
          <w:shadow w:val="false"/>
          <w:sz w:val="20"/>
          <w:szCs w:val="20"/>
          <w:u w:val="none"/>
          <w:em w:val="none"/>
          <w:lang w:val="en-IN"/>
        </w:rPr>
        <w:t>No 404, 4th Floor. Camac Square, 24 Camac Street. Kolkata - 70001</w:t>
      </w:r>
      <w:r>
        <w:rPr>
          <w:rFonts w:ascii="Bitstream Charter" w:hAnsi="Bitstream Charter"/>
          <w:b w:val="false"/>
          <w:i w:val="false"/>
          <w:strike w:val="false"/>
          <w:dstrike w:val="false"/>
          <w:outline w:val="false"/>
          <w:shadow w:val="false"/>
          <w:sz w:val="20"/>
          <w:szCs w:val="20"/>
          <w:u w:val="none"/>
          <w:em w:val="none"/>
          <w:lang w:val="en-IN"/>
        </w:rPr>
        <w:t>6</w:t>
      </w:r>
      <w:r/>
    </w:p>
    <w:p>
      <w:pPr>
        <w:pStyle w:val="Normal"/>
        <w:rPr>
          <w:sz w:val="20"/>
          <w:sz w:val="20"/>
          <w:szCs w:val="16"/>
          <w:rFonts w:ascii="Calibri" w:hAnsi="Calibri" w:eastAsia="Times New Roman" w:cs="Times New Roman"/>
          <w:color w:val="000000"/>
          <w:lang w:val="en-IN"/>
        </w:rPr>
      </w:pPr>
      <w:r>
        <w:rPr>
          <w:rFonts w:ascii="Calibri" w:hAnsi="Calibri"/>
          <w:color w:val="000000"/>
          <w:sz w:val="20"/>
          <w:szCs w:val="16"/>
          <w:lang w:val="en-IN"/>
        </w:rPr>
      </w:r>
      <w:r/>
    </w:p>
    <w:p>
      <w:pPr>
        <w:pStyle w:val="Normal"/>
        <w:ind w:left="720" w:hanging="0"/>
      </w:pPr>
      <w:r>
        <w:rPr>
          <w:rFonts w:cs="Tahoma" w:ascii="Calibri" w:hAnsi="Calibri"/>
          <w:b/>
          <w:sz w:val="20"/>
          <w:szCs w:val="16"/>
        </w:rPr>
        <w:t>Contact Nos: -</w:t>
      </w:r>
      <w:r>
        <w:rPr>
          <w:rFonts w:cs="Tahoma" w:ascii="Calibri" w:hAnsi="Calibri"/>
          <w:sz w:val="20"/>
          <w:szCs w:val="16"/>
        </w:rPr>
        <w:t xml:space="preserve"> 1. </w:t>
      </w:r>
      <w:r>
        <w:rPr>
          <w:rFonts w:cs="Tahoma" w:ascii="Calibri" w:hAnsi="Calibri"/>
          <w:b/>
          <w:sz w:val="20"/>
          <w:szCs w:val="16"/>
        </w:rPr>
        <w:t xml:space="preserve">Aditya Birla Finance Limited Authorised Officer </w:t>
      </w:r>
      <w:r>
        <w:rPr>
          <w:rFonts w:cs="Tahoma" w:ascii="Calibri" w:hAnsi="Calibri"/>
          <w:b/>
          <w:sz w:val="20"/>
          <w:szCs w:val="16"/>
        </w:rPr>
        <w:t>Krishna Mukherjee :9874258285</w:t>
      </w:r>
      <w:r/>
    </w:p>
    <w:p>
      <w:pPr>
        <w:pStyle w:val="Normal"/>
        <w:rPr>
          <w:sz w:val="20"/>
          <w:b/>
          <w:sz w:val="20"/>
          <w:b/>
          <w:szCs w:val="16"/>
          <w:bCs/>
          <w:rFonts w:ascii="Calibri" w:hAnsi="Calibri" w:cs="Calibri"/>
          <w:color w:val="000000"/>
          <w:lang w:val="en-IN"/>
        </w:rPr>
      </w:pPr>
      <w:r>
        <w:rPr>
          <w:rFonts w:cs="Tahoma" w:ascii="Calibri" w:hAnsi="Calibri"/>
          <w:b/>
          <w:sz w:val="20"/>
          <w:szCs w:val="16"/>
        </w:rPr>
        <w:t xml:space="preserve">                                            </w:t>
      </w:r>
      <w:r>
        <w:rPr>
          <w:rFonts w:cs="Tahoma" w:ascii="Calibri" w:hAnsi="Calibri"/>
          <w:b/>
          <w:sz w:val="20"/>
          <w:szCs w:val="16"/>
        </w:rPr>
        <w:t xml:space="preserve">2. </w:t>
      </w:r>
      <w:r>
        <w:rPr>
          <w:rFonts w:cs="Calibri" w:ascii="Calibri" w:hAnsi="Calibri"/>
          <w:b/>
          <w:color w:val="000000"/>
          <w:sz w:val="20"/>
          <w:szCs w:val="16"/>
        </w:rPr>
        <w:t xml:space="preserve">Auction Service Provider (ASP) </w:t>
      </w:r>
      <w:r>
        <w:rPr>
          <w:rFonts w:cs="Calibri" w:ascii="Calibri" w:hAnsi="Calibri"/>
          <w:b/>
          <w:bCs/>
          <w:color w:val="000000"/>
          <w:sz w:val="20"/>
          <w:szCs w:val="16"/>
          <w:lang w:val="en-IN"/>
        </w:rPr>
        <w:t xml:space="preserve">Chintan Bhatt : 9978591888 </w:t>
      </w:r>
      <w:r/>
    </w:p>
    <w:p>
      <w:pPr>
        <w:pStyle w:val="Normal"/>
        <w:jc w:val="center"/>
        <w:rPr>
          <w:sz w:val="20"/>
          <w:u w:val="single"/>
          <w:b/>
          <w:sz w:val="20"/>
          <w:b/>
          <w:szCs w:val="16"/>
          <w:bCs/>
          <w:rFonts w:ascii="Calibri" w:hAnsi="Calibri" w:eastAsia="Times New Roman" w:cs="Tahoma"/>
          <w:lang w:val="en-US"/>
        </w:rPr>
      </w:pPr>
      <w:r>
        <w:rPr>
          <w:rFonts w:cs="Tahoma" w:ascii="Calibri" w:hAnsi="Calibri"/>
          <w:b/>
          <w:bCs/>
          <w:sz w:val="20"/>
          <w:szCs w:val="16"/>
          <w:u w:val="single"/>
        </w:rPr>
      </w:r>
      <w:r/>
    </w:p>
    <w:p>
      <w:pPr>
        <w:pStyle w:val="Normal"/>
        <w:jc w:val="center"/>
        <w:rPr>
          <w:sz w:val="36"/>
          <w:u w:val="single"/>
          <w:b/>
          <w:sz w:val="36"/>
          <w:b/>
          <w:szCs w:val="28"/>
          <w:bCs/>
          <w:rFonts w:ascii="Calibri" w:hAnsi="Calibri" w:cs="Tahoma"/>
        </w:rPr>
      </w:pPr>
      <w:r>
        <w:rPr>
          <w:rFonts w:cs="Tahoma" w:ascii="Calibri" w:hAnsi="Calibri"/>
          <w:b/>
          <w:bCs/>
          <w:sz w:val="36"/>
          <w:szCs w:val="28"/>
          <w:u w:val="single"/>
        </w:rPr>
        <w:t xml:space="preserve">E-Auction Sale Notice </w:t>
      </w:r>
      <w:r/>
    </w:p>
    <w:p>
      <w:pPr>
        <w:pStyle w:val="Normal"/>
        <w:jc w:val="center"/>
        <w:rPr>
          <w:sz w:val="36"/>
          <w:u w:val="single"/>
          <w:b/>
          <w:sz w:val="36"/>
          <w:b/>
          <w:szCs w:val="28"/>
          <w:bCs/>
          <w:rFonts w:ascii="Calibri" w:hAnsi="Calibri" w:eastAsia="Times New Roman" w:cs="Tahoma"/>
          <w:lang w:val="en-US"/>
        </w:rPr>
      </w:pPr>
      <w:r>
        <w:rPr>
          <w:rFonts w:cs="Tahoma" w:ascii="Calibri" w:hAnsi="Calibri"/>
          <w:b/>
          <w:bCs/>
          <w:sz w:val="36"/>
          <w:szCs w:val="28"/>
          <w:u w:val="single"/>
        </w:rPr>
      </w:r>
      <w:r/>
    </w:p>
    <w:p>
      <w:pPr>
        <w:pStyle w:val="Normal"/>
        <w:rPr>
          <w:sz w:val="20"/>
          <w:sz w:val="20"/>
          <w:szCs w:val="16"/>
          <w:rFonts w:ascii="Calibri" w:hAnsi="Calibri" w:cs="Tahoma"/>
        </w:rPr>
      </w:pPr>
      <w:r>
        <w:rPr>
          <w:rFonts w:cs="Tahoma" w:ascii="Calibri" w:hAnsi="Calibri"/>
          <w:sz w:val="20"/>
          <w:szCs w:val="16"/>
        </w:rPr>
        <w:t xml:space="preserve">Pursuant to taking possession of the secured asset mentioned hereunder by the Authorized Officer of </w:t>
      </w:r>
      <w:r>
        <w:rPr>
          <w:rFonts w:cs="Tahoma" w:ascii="Calibri" w:hAnsi="Calibri"/>
          <w:color w:val="000000"/>
          <w:sz w:val="20"/>
          <w:szCs w:val="16"/>
        </w:rPr>
        <w:t>Aditya Birla Finance Limited</w:t>
      </w:r>
      <w:r>
        <w:rPr>
          <w:rFonts w:cs="Tahoma" w:ascii="Calibri" w:hAnsi="Calibri"/>
          <w:sz w:val="20"/>
          <w:szCs w:val="16"/>
        </w:rPr>
        <w:t xml:space="preserve"> under the </w:t>
      </w:r>
      <w:r>
        <w:rPr>
          <w:rFonts w:cs="Tahoma" w:ascii="Calibri" w:hAnsi="Calibri"/>
          <w:b/>
          <w:bCs/>
          <w:sz w:val="20"/>
          <w:szCs w:val="16"/>
        </w:rPr>
        <w:t>Securitisation and Reconstruction of Financial Assets and Enforcement of Security Interest Act, 2002 (54 of 2002)</w:t>
      </w:r>
      <w:r>
        <w:rPr>
          <w:rFonts w:cs="Tahoma" w:ascii="Calibri" w:hAnsi="Calibri"/>
          <w:sz w:val="20"/>
          <w:szCs w:val="16"/>
        </w:rPr>
        <w:t xml:space="preserve"> for the recovery of amount due from borrower/s, offers are invited by the undersigned in sealed covers for purchase of immovable property, as described hereunder, which is in the physical possession,  </w:t>
      </w:r>
      <w:r>
        <w:rPr>
          <w:rFonts w:cs="Tahoma" w:ascii="Calibri" w:hAnsi="Calibri"/>
          <w:b/>
          <w:sz w:val="20"/>
          <w:szCs w:val="16"/>
        </w:rPr>
        <w:t>on ‘As Is Where Is Basis’, ‘As Is What Is Basis’ and ‘Whatever Is There Is Basis’,</w:t>
      </w:r>
      <w:r>
        <w:rPr>
          <w:rFonts w:cs="Tahoma" w:ascii="Calibri" w:hAnsi="Calibri"/>
          <w:sz w:val="20"/>
          <w:szCs w:val="16"/>
        </w:rPr>
        <w:t xml:space="preserve"> Particulars of which are given below:- </w:t>
        <w:br/>
      </w:r>
      <w:r/>
    </w:p>
    <w:tbl>
      <w:tblPr>
        <w:tblW w:w="10176" w:type="dxa"/>
        <w:jc w:val="left"/>
        <w:tblInd w:w="-116"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2237"/>
        <w:gridCol w:w="1274"/>
        <w:gridCol w:w="2694"/>
        <w:gridCol w:w="1283"/>
        <w:gridCol w:w="1349"/>
        <w:gridCol w:w="1338"/>
      </w:tblGrid>
      <w:tr>
        <w:trPr>
          <w:trHeight w:val="998" w:hRule="atLeast"/>
        </w:trPr>
        <w:tc>
          <w:tcPr>
            <w:tcW w:w="2237" w:type="dxa"/>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jc w:val="both"/>
              <w:rPr>
                <w:sz w:val="20"/>
                <w:sz w:val="20"/>
                <w:szCs w:val="16"/>
                <w:rFonts w:ascii="Calibri" w:hAnsi="Calibri" w:cs="Tahoma"/>
              </w:rPr>
            </w:pPr>
            <w:r>
              <w:rPr>
                <w:rFonts w:cs="Tahoma" w:ascii="Calibri" w:hAnsi="Calibri"/>
                <w:sz w:val="20"/>
                <w:szCs w:val="16"/>
              </w:rPr>
              <w:t>Borrower(s) / Co-Borrower(s)/ Guarantor(s)</w:t>
            </w:r>
            <w:r/>
          </w:p>
        </w:tc>
        <w:tc>
          <w:tcPr>
            <w:tcW w:w="1274" w:type="dxa"/>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jc w:val="both"/>
              <w:rPr>
                <w:sz w:val="20"/>
                <w:sz w:val="20"/>
                <w:szCs w:val="16"/>
                <w:rFonts w:ascii="Calibri" w:hAnsi="Calibri" w:cs="Tahoma"/>
              </w:rPr>
            </w:pPr>
            <w:r>
              <w:rPr>
                <w:rFonts w:cs="Tahoma" w:ascii="Calibri" w:hAnsi="Calibri"/>
                <w:sz w:val="20"/>
                <w:szCs w:val="16"/>
              </w:rPr>
              <w:t>Demand Notice Date and Amount</w:t>
            </w:r>
            <w:r/>
          </w:p>
        </w:tc>
        <w:tc>
          <w:tcPr>
            <w:tcW w:w="2694" w:type="dxa"/>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jc w:val="both"/>
              <w:rPr>
                <w:sz w:val="20"/>
                <w:sz w:val="20"/>
                <w:szCs w:val="16"/>
                <w:rFonts w:ascii="Calibri" w:hAnsi="Calibri" w:cs="Tahoma"/>
              </w:rPr>
            </w:pPr>
            <w:r>
              <w:rPr>
                <w:rFonts w:cs="Tahoma" w:ascii="Calibri" w:hAnsi="Calibri"/>
                <w:sz w:val="20"/>
                <w:szCs w:val="16"/>
              </w:rPr>
              <w:t>Description of the</w:t>
            </w:r>
            <w:r/>
          </w:p>
          <w:p>
            <w:pPr>
              <w:pStyle w:val="Normal"/>
              <w:jc w:val="both"/>
              <w:rPr>
                <w:sz w:val="20"/>
                <w:sz w:val="20"/>
                <w:szCs w:val="16"/>
                <w:rFonts w:ascii="Calibri" w:hAnsi="Calibri" w:cs="Tahoma"/>
              </w:rPr>
            </w:pPr>
            <w:r>
              <w:rPr>
                <w:rFonts w:cs="Tahoma" w:ascii="Calibri" w:hAnsi="Calibri"/>
                <w:sz w:val="20"/>
                <w:szCs w:val="16"/>
              </w:rPr>
              <w:t>Immovable property</w:t>
            </w:r>
            <w:r/>
          </w:p>
        </w:tc>
        <w:tc>
          <w:tcPr>
            <w:tcW w:w="1283" w:type="dxa"/>
            <w:tcBorders>
              <w:top w:val="single" w:sz="4" w:space="0" w:color="000001"/>
              <w:left w:val="single" w:sz="4" w:space="0" w:color="000001"/>
              <w:bottom w:val="single" w:sz="4" w:space="0" w:color="000001"/>
              <w:insideH w:val="single" w:sz="4" w:space="0" w:color="000001"/>
            </w:tcBorders>
            <w:shd w:color="auto" w:fill="D9D9D9" w:val="clear"/>
            <w:tcMar>
              <w:left w:w="103" w:type="dxa"/>
            </w:tcMar>
            <w:vAlign w:val="center"/>
          </w:tcPr>
          <w:p>
            <w:pPr>
              <w:pStyle w:val="Normal"/>
              <w:jc w:val="both"/>
              <w:rPr>
                <w:sz w:val="20"/>
                <w:sz w:val="20"/>
                <w:szCs w:val="16"/>
                <w:rFonts w:ascii="Calibri" w:hAnsi="Calibri" w:cs="Tahoma"/>
              </w:rPr>
            </w:pPr>
            <w:r>
              <w:rPr>
                <w:rFonts w:cs="Tahoma" w:ascii="Calibri" w:hAnsi="Calibri"/>
                <w:sz w:val="20"/>
                <w:szCs w:val="16"/>
              </w:rPr>
              <w:t>Reserve</w:t>
            </w:r>
            <w:r/>
          </w:p>
          <w:p>
            <w:pPr>
              <w:pStyle w:val="Normal"/>
              <w:jc w:val="both"/>
              <w:rPr>
                <w:sz w:val="20"/>
                <w:sz w:val="20"/>
                <w:szCs w:val="16"/>
                <w:rFonts w:ascii="Calibri" w:hAnsi="Calibri" w:cs="Tahoma"/>
              </w:rPr>
            </w:pPr>
            <w:r>
              <w:rPr>
                <w:rFonts w:cs="Tahoma" w:ascii="Calibri" w:hAnsi="Calibri"/>
                <w:sz w:val="20"/>
                <w:szCs w:val="16"/>
              </w:rPr>
              <w:t>Price (RP)</w:t>
            </w:r>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3" w:type="dxa"/>
            </w:tcMar>
            <w:vAlign w:val="center"/>
          </w:tcPr>
          <w:p>
            <w:pPr>
              <w:pStyle w:val="Normal"/>
              <w:jc w:val="both"/>
              <w:rPr>
                <w:sz w:val="20"/>
                <w:sz w:val="20"/>
                <w:szCs w:val="16"/>
                <w:rFonts w:ascii="Calibri" w:hAnsi="Calibri" w:cs="Tahoma"/>
              </w:rPr>
            </w:pPr>
            <w:r>
              <w:rPr>
                <w:rFonts w:cs="Tahoma" w:ascii="Calibri" w:hAnsi="Calibri"/>
                <w:sz w:val="20"/>
                <w:szCs w:val="16"/>
              </w:rPr>
              <w:t>Earnest Money Deposit (EMD) (10% of RP)</w:t>
            </w:r>
            <w:r/>
          </w:p>
        </w:tc>
        <w:tc>
          <w:tcPr>
            <w:tcW w:w="1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103" w:type="dxa"/>
            </w:tcMar>
            <w:vAlign w:val="center"/>
          </w:tcPr>
          <w:p>
            <w:pPr>
              <w:pStyle w:val="Normal"/>
              <w:jc w:val="both"/>
              <w:rPr>
                <w:sz w:val="20"/>
                <w:sz w:val="20"/>
                <w:szCs w:val="16"/>
                <w:rFonts w:ascii="Calibri" w:hAnsi="Calibri" w:cs="Tahoma"/>
              </w:rPr>
            </w:pPr>
            <w:r>
              <w:rPr>
                <w:rFonts w:cs="Tahoma" w:ascii="Calibri" w:hAnsi="Calibri"/>
                <w:sz w:val="20"/>
                <w:szCs w:val="16"/>
              </w:rPr>
              <w:t xml:space="preserve">Total Loan Outstanding </w:t>
            </w:r>
            <w:r/>
          </w:p>
          <w:p>
            <w:pPr>
              <w:pStyle w:val="Normal"/>
              <w:jc w:val="both"/>
              <w:rPr>
                <w:sz w:val="20"/>
                <w:sz w:val="20"/>
                <w:szCs w:val="16"/>
                <w:rFonts w:ascii="Calibri" w:hAnsi="Calibri" w:cs="Tahoma"/>
              </w:rPr>
            </w:pPr>
            <w:r>
              <w:rPr>
                <w:rFonts w:cs="Tahoma" w:ascii="Calibri" w:hAnsi="Calibri"/>
                <w:sz w:val="20"/>
                <w:szCs w:val="16"/>
              </w:rPr>
              <w:t>(As on 30/04</w:t>
            </w:r>
            <w:bookmarkStart w:id="0" w:name="_GoBack"/>
            <w:bookmarkEnd w:id="0"/>
            <w:r>
              <w:rPr>
                <w:rFonts w:cs="Tahoma" w:ascii="Calibri" w:hAnsi="Calibri"/>
                <w:sz w:val="20"/>
                <w:szCs w:val="16"/>
              </w:rPr>
              <w:t>/2019)</w:t>
            </w:r>
            <w:r/>
          </w:p>
        </w:tc>
      </w:tr>
      <w:tr>
        <w:trPr>
          <w:trHeight w:val="2127" w:hRule="atLeast"/>
        </w:trPr>
        <w:tc>
          <w:tcPr>
            <w:tcW w:w="223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keepLines/>
              <w:spacing w:before="0" w:after="0"/>
              <w:contextualSpacing/>
              <w:jc w:val="both"/>
              <w:rPr>
                <w:sz w:val="20"/>
                <w:sz w:val="20"/>
                <w:szCs w:val="16"/>
                <w:rFonts w:cs="Tahoma"/>
              </w:rPr>
            </w:pPr>
            <w:r>
              <w:rPr>
                <w:rFonts w:cs="Tahoma"/>
                <w:sz w:val="20"/>
                <w:szCs w:val="16"/>
              </w:rPr>
              <w:t>Singhwahini Developers Private Limited</w:t>
            </w:r>
            <w:r/>
          </w:p>
          <w:p>
            <w:pPr>
              <w:pStyle w:val="Normal"/>
              <w:rPr>
                <w:sz w:val="20"/>
                <w:sz w:val="20"/>
                <w:szCs w:val="16"/>
                <w:rFonts w:ascii="Calibri" w:hAnsi="Calibri" w:cs="Tahoma"/>
              </w:rPr>
            </w:pPr>
            <w:r>
              <w:rPr>
                <w:rFonts w:cs="Tahoma" w:ascii="Calibri" w:hAnsi="Calibri"/>
                <w:sz w:val="20"/>
                <w:szCs w:val="16"/>
              </w:rPr>
              <w:t xml:space="preserve"> </w:t>
            </w:r>
            <w:r>
              <w:rPr>
                <w:rFonts w:cs="Tahoma" w:ascii="Calibri" w:hAnsi="Calibri"/>
                <w:sz w:val="20"/>
                <w:szCs w:val="16"/>
              </w:rPr>
              <w:t>(Borrower)</w:t>
            </w:r>
            <w:r/>
          </w:p>
          <w:p>
            <w:pPr>
              <w:pStyle w:val="Normal"/>
              <w:rPr>
                <w:sz w:val="20"/>
                <w:sz w:val="20"/>
                <w:szCs w:val="16"/>
                <w:rFonts w:ascii="Calibri" w:hAnsi="Calibri" w:eastAsia="Times New Roman" w:cs="Tahoma"/>
                <w:lang w:val="en-US"/>
              </w:rPr>
            </w:pPr>
            <w:r>
              <w:rPr>
                <w:rFonts w:cs="Tahoma" w:ascii="Calibri" w:hAnsi="Calibri"/>
                <w:sz w:val="20"/>
                <w:szCs w:val="16"/>
              </w:rPr>
            </w:r>
            <w:r/>
          </w:p>
          <w:p>
            <w:pPr>
              <w:pStyle w:val="Normal"/>
              <w:rPr>
                <w:sz w:val="20"/>
                <w:sz w:val="20"/>
                <w:szCs w:val="16"/>
                <w:rFonts w:ascii="Calibri" w:hAnsi="Calibri" w:cs="Tahoma"/>
              </w:rPr>
            </w:pPr>
            <w:r>
              <w:rPr>
                <w:rFonts w:cs="Tahoma"/>
                <w:sz w:val="20"/>
                <w:szCs w:val="16"/>
              </w:rPr>
              <w:t>Poddar HMP Industries Private Limited</w:t>
            </w:r>
            <w:r>
              <w:rPr>
                <w:rFonts w:cs="Tahoma" w:ascii="Calibri" w:hAnsi="Calibri"/>
                <w:sz w:val="20"/>
                <w:szCs w:val="16"/>
              </w:rPr>
              <w:t xml:space="preserve"> </w:t>
            </w:r>
            <w:r/>
          </w:p>
          <w:p>
            <w:pPr>
              <w:pStyle w:val="Normal"/>
              <w:rPr>
                <w:sz w:val="20"/>
                <w:sz w:val="20"/>
                <w:szCs w:val="16"/>
                <w:rFonts w:ascii="Calibri" w:hAnsi="Calibri" w:eastAsia="Times New Roman" w:cs="Tahoma"/>
                <w:lang w:val="en-US"/>
              </w:rPr>
            </w:pPr>
            <w:r>
              <w:rPr>
                <w:rFonts w:cs="Tahoma" w:ascii="Calibri" w:hAnsi="Calibri"/>
                <w:sz w:val="20"/>
                <w:szCs w:val="16"/>
              </w:rPr>
            </w:r>
            <w:r/>
          </w:p>
          <w:p>
            <w:pPr>
              <w:pStyle w:val="Normal"/>
              <w:rPr>
                <w:sz w:val="20"/>
                <w:sz w:val="20"/>
                <w:szCs w:val="16"/>
                <w:rFonts w:cs="Tahoma"/>
              </w:rPr>
            </w:pPr>
            <w:r>
              <w:rPr>
                <w:rFonts w:cs="Tahoma"/>
                <w:sz w:val="20"/>
                <w:szCs w:val="16"/>
              </w:rPr>
              <w:t>Darjeeling Tea</w:t>
            </w:r>
            <w:r/>
          </w:p>
          <w:p>
            <w:pPr>
              <w:pStyle w:val="Normal"/>
              <w:rPr>
                <w:sz w:val="20"/>
                <w:sz w:val="20"/>
                <w:szCs w:val="16"/>
                <w:rFonts w:ascii="Times New Roman" w:hAnsi="Times New Roman" w:eastAsia="Times New Roman" w:cs="Tahoma"/>
                <w:lang w:val="en-US"/>
              </w:rPr>
            </w:pPr>
            <w:r>
              <w:rPr>
                <w:rFonts w:cs="Tahoma"/>
                <w:sz w:val="20"/>
                <w:szCs w:val="16"/>
              </w:rPr>
            </w:r>
            <w:r/>
          </w:p>
          <w:p>
            <w:pPr>
              <w:pStyle w:val="Normal"/>
              <w:spacing w:before="0" w:after="0"/>
              <w:contextualSpacing/>
              <w:rPr>
                <w:sz w:val="20"/>
                <w:sz w:val="20"/>
                <w:szCs w:val="16"/>
                <w:rFonts w:cs="Tahoma"/>
              </w:rPr>
            </w:pPr>
            <w:r>
              <w:rPr>
                <w:rFonts w:cs="Tahoma"/>
                <w:sz w:val="20"/>
                <w:szCs w:val="16"/>
              </w:rPr>
              <w:t>Chinchona Association Private Limited</w:t>
            </w:r>
            <w:r/>
          </w:p>
          <w:p>
            <w:pPr>
              <w:pStyle w:val="Normal"/>
              <w:rPr>
                <w:sz w:val="20"/>
                <w:sz w:val="20"/>
                <w:szCs w:val="16"/>
                <w:rFonts w:ascii="Calibri" w:hAnsi="Calibri" w:eastAsia="Times New Roman" w:cs="Tahoma"/>
                <w:lang w:val="en-US"/>
              </w:rPr>
            </w:pPr>
            <w:r>
              <w:rPr>
                <w:rFonts w:cs="Tahoma" w:ascii="Calibri" w:hAnsi="Calibri"/>
                <w:sz w:val="20"/>
                <w:szCs w:val="16"/>
              </w:rPr>
            </w:r>
            <w:r/>
          </w:p>
          <w:p>
            <w:pPr>
              <w:pStyle w:val="Normal"/>
              <w:rPr>
                <w:sz w:val="20"/>
                <w:sz w:val="20"/>
                <w:szCs w:val="16"/>
                <w:rFonts w:ascii="Calibri" w:hAnsi="Calibri" w:cs="Tahoma"/>
              </w:rPr>
            </w:pPr>
            <w:r>
              <w:rPr>
                <w:rFonts w:cs="Tahoma" w:ascii="Calibri" w:hAnsi="Calibri"/>
                <w:sz w:val="20"/>
                <w:szCs w:val="16"/>
              </w:rPr>
              <w:t>(Co-borrower)</w:t>
            </w:r>
            <w:r/>
          </w:p>
          <w:p>
            <w:pPr>
              <w:pStyle w:val="Normal"/>
              <w:rPr>
                <w:sz w:val="20"/>
                <w:sz w:val="20"/>
                <w:szCs w:val="16"/>
                <w:rFonts w:ascii="Calibri" w:hAnsi="Calibri" w:eastAsia="Times New Roman" w:cs="Tahoma"/>
                <w:lang w:val="en-US"/>
              </w:rPr>
            </w:pPr>
            <w:r>
              <w:rPr>
                <w:rFonts w:cs="Tahoma" w:ascii="Calibri" w:hAnsi="Calibri"/>
                <w:sz w:val="20"/>
                <w:szCs w:val="16"/>
              </w:rPr>
            </w:r>
            <w:r/>
          </w:p>
        </w:tc>
        <w:tc>
          <w:tcPr>
            <w:tcW w:w="127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both"/>
              <w:rPr>
                <w:sz w:val="20"/>
                <w:sz w:val="20"/>
                <w:szCs w:val="16"/>
                <w:rFonts w:ascii="Calibri" w:hAnsi="Calibri" w:cs="Tahoma"/>
              </w:rPr>
            </w:pPr>
            <w:r>
              <w:rPr>
                <w:rFonts w:cs="Tahoma" w:ascii="Calibri" w:hAnsi="Calibri"/>
                <w:sz w:val="20"/>
                <w:szCs w:val="16"/>
              </w:rPr>
              <w:t>15/05/2019</w:t>
            </w:r>
            <w:r/>
          </w:p>
          <w:p>
            <w:pPr>
              <w:pStyle w:val="Normal"/>
              <w:jc w:val="both"/>
              <w:rPr>
                <w:sz w:val="20"/>
                <w:sz w:val="20"/>
                <w:szCs w:val="16"/>
                <w:rFonts w:ascii="Calibri" w:hAnsi="Calibri" w:cs="Tahoma"/>
              </w:rPr>
            </w:pPr>
            <w:r>
              <w:rPr>
                <w:rFonts w:cs="Tahoma" w:ascii="Calibri" w:hAnsi="Calibri"/>
                <w:sz w:val="20"/>
                <w:szCs w:val="16"/>
              </w:rPr>
              <w:t xml:space="preserve">for </w:t>
            </w:r>
            <w:r/>
          </w:p>
          <w:p>
            <w:pPr>
              <w:pStyle w:val="Normal"/>
              <w:jc w:val="both"/>
              <w:rPr>
                <w:sz w:val="20"/>
                <w:sz w:val="20"/>
                <w:szCs w:val="16"/>
                <w:rFonts w:ascii="Calibri" w:hAnsi="Calibri" w:cs="Tahoma"/>
              </w:rPr>
            </w:pPr>
            <w:r>
              <w:rPr>
                <w:rFonts w:cs="Tahoma" w:ascii="Calibri" w:hAnsi="Calibri"/>
                <w:sz w:val="20"/>
                <w:szCs w:val="16"/>
              </w:rPr>
              <w:t>Rs. 2,28,53,237 /-</w:t>
            </w:r>
            <w:r/>
          </w:p>
        </w:tc>
        <w:tc>
          <w:tcPr>
            <w:tcW w:w="26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18"/>
                <w:sz w:val="18"/>
                <w:szCs w:val="18"/>
                <w:rFonts w:cs="Arial"/>
              </w:rPr>
            </w:pPr>
            <w:r>
              <w:rPr>
                <w:rFonts w:cs="Arial"/>
                <w:sz w:val="18"/>
                <w:szCs w:val="18"/>
              </w:rPr>
              <w:t>Residential property:-</w:t>
            </w:r>
            <w:r/>
          </w:p>
          <w:p>
            <w:pPr>
              <w:pStyle w:val="Normal"/>
              <w:jc w:val="both"/>
              <w:rPr>
                <w:sz w:val="18"/>
                <w:sz w:val="18"/>
                <w:szCs w:val="18"/>
                <w:rFonts w:cs="Arial"/>
              </w:rPr>
            </w:pPr>
            <w:r>
              <w:rPr>
                <w:rFonts w:cs="Arial"/>
                <w:sz w:val="18"/>
                <w:szCs w:val="18"/>
              </w:rPr>
              <w:t xml:space="preserve">No. 50G, Khetra Mohan Naskar Road, Kolkata – 700040, Police Station – Regent Park (previously Jadavpur and prior thereto Tollygunge), Post Office – Netaji Nagar under Ward No. 97 of the Kolkata Municipal Corporation, District – South 24 Parganas </w:t>
            </w:r>
            <w:r/>
          </w:p>
          <w:p>
            <w:pPr>
              <w:pStyle w:val="Normal"/>
              <w:jc w:val="both"/>
              <w:rPr>
                <w:sz w:val="18"/>
                <w:sz w:val="18"/>
                <w:szCs w:val="18"/>
                <w:rFonts w:ascii="Calibri" w:hAnsi="Calibri" w:eastAsia="Times New Roman" w:cs="Arial"/>
                <w:lang w:val="en-US"/>
              </w:rPr>
            </w:pPr>
            <w:r>
              <w:rPr>
                <w:rFonts w:cs="Arial" w:ascii="Calibri" w:hAnsi="Calibri"/>
                <w:sz w:val="18"/>
                <w:szCs w:val="18"/>
              </w:rPr>
            </w:r>
            <w:r/>
          </w:p>
          <w:p>
            <w:pPr>
              <w:pStyle w:val="Normal"/>
              <w:jc w:val="both"/>
              <w:rPr>
                <w:sz w:val="20"/>
                <w:sz w:val="20"/>
                <w:szCs w:val="16"/>
                <w:rFonts w:ascii="Calibri" w:hAnsi="Calibri" w:eastAsia="Times New Roman" w:cs="Tahoma"/>
                <w:lang w:val="en-US"/>
              </w:rPr>
            </w:pPr>
            <w:r>
              <w:rPr>
                <w:rFonts w:cs="Tahoma" w:ascii="Calibri" w:hAnsi="Calibri"/>
                <w:sz w:val="20"/>
                <w:szCs w:val="16"/>
              </w:rPr>
            </w:r>
            <w:r/>
          </w:p>
        </w:tc>
        <w:tc>
          <w:tcPr>
            <w:tcW w:w="128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both"/>
              <w:rPr>
                <w:sz w:val="20"/>
                <w:sz w:val="20"/>
                <w:szCs w:val="16"/>
                <w:rFonts w:ascii="Calibri" w:hAnsi="Calibri" w:cs="Tahoma"/>
              </w:rPr>
            </w:pPr>
            <w:r>
              <w:rPr>
                <w:rFonts w:cs="Tahoma" w:ascii="Calibri" w:hAnsi="Calibri"/>
                <w:sz w:val="20"/>
                <w:szCs w:val="16"/>
              </w:rPr>
              <w:t xml:space="preserve"> </w:t>
            </w:r>
            <w:r>
              <w:rPr>
                <w:rFonts w:cs="Tahoma" w:ascii="Calibri" w:hAnsi="Calibri"/>
                <w:sz w:val="20"/>
                <w:szCs w:val="16"/>
              </w:rPr>
              <w:t>INR 1,82,72,100/- (Rupees One Crore Eighty Two Lakhs Seventy Two Thousand One Hundred Only)</w:t>
            </w:r>
            <w:r/>
          </w:p>
          <w:p>
            <w:pPr>
              <w:pStyle w:val="Normal"/>
              <w:jc w:val="both"/>
              <w:rPr>
                <w:sz w:val="20"/>
                <w:sz w:val="20"/>
                <w:szCs w:val="16"/>
                <w:rFonts w:ascii="Calibri" w:hAnsi="Calibri" w:eastAsia="Times New Roman" w:cs="Tahoma"/>
                <w:lang w:val="en-US"/>
              </w:rPr>
            </w:pPr>
            <w:r>
              <w:rPr>
                <w:rFonts w:cs="Tahoma" w:ascii="Calibri" w:hAnsi="Calibri"/>
                <w:sz w:val="20"/>
                <w:szCs w:val="16"/>
              </w:rPr>
            </w:r>
            <w:r/>
          </w:p>
          <w:p>
            <w:pPr>
              <w:pStyle w:val="Normal"/>
              <w:jc w:val="both"/>
              <w:rPr>
                <w:sz w:val="20"/>
                <w:sz w:val="20"/>
                <w:szCs w:val="16"/>
                <w:rFonts w:ascii="Calibri" w:hAnsi="Calibri" w:eastAsia="Times New Roman" w:cs="Tahoma"/>
                <w:lang w:val="en-US"/>
              </w:rPr>
            </w:pPr>
            <w:r>
              <w:rPr>
                <w:rFonts w:cs="Tahoma" w:ascii="Calibri" w:hAnsi="Calibri"/>
                <w:sz w:val="20"/>
                <w:szCs w:val="16"/>
              </w:rPr>
            </w:r>
            <w:r/>
          </w:p>
          <w:p>
            <w:pPr>
              <w:pStyle w:val="Normal"/>
              <w:jc w:val="both"/>
              <w:rPr>
                <w:sz w:val="20"/>
                <w:sz w:val="20"/>
                <w:szCs w:val="16"/>
                <w:rFonts w:ascii="Calibri" w:hAnsi="Calibri" w:eastAsia="Times New Roman" w:cs="Tahoma"/>
                <w:lang w:val="en-US"/>
              </w:rPr>
            </w:pPr>
            <w:r>
              <w:rPr>
                <w:rFonts w:cs="Tahoma" w:ascii="Calibri" w:hAnsi="Calibri"/>
                <w:sz w:val="20"/>
                <w:szCs w:val="16"/>
              </w:rPr>
            </w:r>
            <w:r/>
          </w:p>
          <w:p>
            <w:pPr>
              <w:pStyle w:val="Normal"/>
              <w:jc w:val="both"/>
              <w:rPr>
                <w:sz w:val="20"/>
                <w:sz w:val="20"/>
                <w:szCs w:val="16"/>
                <w:rFonts w:ascii="Calibri" w:hAnsi="Calibri" w:eastAsia="Times New Roman" w:cs="Tahoma"/>
                <w:lang w:val="en-US"/>
              </w:rPr>
            </w:pPr>
            <w:r>
              <w:rPr>
                <w:rFonts w:cs="Tahoma" w:ascii="Calibri" w:hAnsi="Calibri"/>
                <w:sz w:val="20"/>
                <w:szCs w:val="16"/>
              </w:rPr>
            </w:r>
            <w:r/>
          </w:p>
          <w:p>
            <w:pPr>
              <w:pStyle w:val="Normal"/>
              <w:jc w:val="both"/>
              <w:rPr>
                <w:sz w:val="20"/>
                <w:sz w:val="20"/>
                <w:szCs w:val="16"/>
                <w:rFonts w:ascii="Calibri" w:hAnsi="Calibri" w:eastAsia="Times New Roman" w:cs="Tahoma"/>
                <w:lang w:val="en-US"/>
              </w:rPr>
            </w:pPr>
            <w:r>
              <w:rPr>
                <w:rFonts w:cs="Tahoma" w:ascii="Calibri" w:hAnsi="Calibri"/>
                <w:sz w:val="20"/>
                <w:szCs w:val="16"/>
              </w:rPr>
            </w:r>
            <w:r/>
          </w:p>
          <w:p>
            <w:pPr>
              <w:pStyle w:val="Normal"/>
              <w:jc w:val="both"/>
              <w:rPr>
                <w:sz w:val="20"/>
                <w:sz w:val="20"/>
                <w:szCs w:val="16"/>
                <w:rFonts w:ascii="Calibri" w:hAnsi="Calibri" w:eastAsia="Times New Roman" w:cs="Tahoma"/>
                <w:lang w:val="en-US"/>
              </w:rPr>
            </w:pPr>
            <w:r>
              <w:rPr>
                <w:rFonts w:cs="Tahoma" w:ascii="Calibri" w:hAnsi="Calibri"/>
                <w:sz w:val="20"/>
                <w:szCs w:val="16"/>
              </w:rPr>
            </w:r>
            <w:r/>
          </w:p>
          <w:p>
            <w:pPr>
              <w:pStyle w:val="Normal"/>
              <w:jc w:val="both"/>
              <w:rPr>
                <w:sz w:val="20"/>
                <w:sz w:val="20"/>
                <w:szCs w:val="16"/>
                <w:rFonts w:ascii="Calibri" w:hAnsi="Calibri" w:eastAsia="Times New Roman" w:cs="Tahoma"/>
                <w:lang w:val="en-US"/>
              </w:rPr>
            </w:pPr>
            <w:r>
              <w:rPr>
                <w:rFonts w:cs="Tahoma" w:ascii="Calibri" w:hAnsi="Calibri"/>
                <w:sz w:val="20"/>
                <w:szCs w:val="16"/>
              </w:rPr>
            </w:r>
            <w:r/>
          </w:p>
          <w:p>
            <w:pPr>
              <w:pStyle w:val="Normal"/>
              <w:jc w:val="both"/>
              <w:rPr>
                <w:sz w:val="20"/>
                <w:sz w:val="20"/>
                <w:szCs w:val="16"/>
                <w:rFonts w:ascii="Calibri" w:hAnsi="Calibri" w:eastAsia="Times New Roman" w:cs="Tahoma"/>
                <w:lang w:val="en-US"/>
              </w:rPr>
            </w:pPr>
            <w:r>
              <w:rPr>
                <w:rFonts w:cs="Tahoma" w:ascii="Calibri" w:hAnsi="Calibri"/>
                <w:sz w:val="20"/>
                <w:szCs w:val="16"/>
              </w:rPr>
            </w:r>
            <w:r/>
          </w:p>
        </w:tc>
        <w:tc>
          <w:tcPr>
            <w:tcW w:w="1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sz w:val="20"/>
                <w:sz w:val="20"/>
                <w:szCs w:val="16"/>
                <w:rFonts w:ascii="Calibri" w:hAnsi="Calibri" w:eastAsia="Times New Roman" w:cs="Tahoma"/>
                <w:lang w:val="en-US"/>
              </w:rPr>
            </w:pPr>
            <w:r>
              <w:rPr>
                <w:rFonts w:cs="Tahoma" w:ascii="Calibri" w:hAnsi="Calibri"/>
                <w:sz w:val="20"/>
                <w:szCs w:val="16"/>
              </w:rPr>
            </w:r>
            <w:r/>
          </w:p>
          <w:p>
            <w:pPr>
              <w:pStyle w:val="Normal"/>
              <w:rPr>
                <w:sz w:val="20"/>
                <w:sz w:val="20"/>
                <w:rFonts w:ascii="Calibri" w:hAnsi="Calibri" w:cs="Calibri"/>
              </w:rPr>
            </w:pPr>
            <w:r>
              <w:rPr>
                <w:rFonts w:cs="Calibri" w:ascii="Calibri" w:hAnsi="Calibri"/>
                <w:sz w:val="20"/>
              </w:rPr>
              <w:t>INR 18,27,210/-</w:t>
            </w:r>
            <w:r/>
          </w:p>
          <w:p>
            <w:pPr>
              <w:pStyle w:val="Normal"/>
              <w:rPr>
                <w:sz w:val="20"/>
                <w:sz w:val="20"/>
                <w:szCs w:val="16"/>
                <w:rFonts w:ascii="Calibri" w:hAnsi="Calibri" w:eastAsia="Times New Roman" w:cs="Tahoma"/>
                <w:lang w:val="en-US"/>
              </w:rPr>
            </w:pPr>
            <w:r>
              <w:rPr>
                <w:rFonts w:cs="Tahoma" w:ascii="Calibri" w:hAnsi="Calibri"/>
                <w:sz w:val="20"/>
                <w:szCs w:val="16"/>
              </w:rPr>
            </w:r>
            <w:r/>
          </w:p>
          <w:p>
            <w:pPr>
              <w:pStyle w:val="Normal"/>
              <w:rPr>
                <w:sz w:val="20"/>
                <w:sz w:val="20"/>
                <w:szCs w:val="16"/>
                <w:rFonts w:ascii="Calibri" w:hAnsi="Calibri" w:eastAsia="Times New Roman" w:cs="Tahoma"/>
                <w:lang w:val="en-US"/>
              </w:rPr>
            </w:pPr>
            <w:r>
              <w:rPr>
                <w:rFonts w:cs="Tahoma" w:ascii="Calibri" w:hAnsi="Calibri"/>
                <w:sz w:val="20"/>
                <w:szCs w:val="16"/>
              </w:rPr>
            </w:r>
            <w:r/>
          </w:p>
          <w:p>
            <w:pPr>
              <w:pStyle w:val="Normal"/>
              <w:rPr>
                <w:sz w:val="20"/>
                <w:sz w:val="20"/>
                <w:szCs w:val="16"/>
                <w:rFonts w:ascii="Calibri" w:hAnsi="Calibri" w:eastAsia="Times New Roman" w:cs="Tahoma"/>
                <w:lang w:val="en-US"/>
              </w:rPr>
            </w:pPr>
            <w:r>
              <w:rPr>
                <w:rFonts w:cs="Tahoma" w:ascii="Calibri" w:hAnsi="Calibri"/>
                <w:sz w:val="20"/>
                <w:szCs w:val="16"/>
              </w:rPr>
            </w:r>
            <w:r/>
          </w:p>
          <w:p>
            <w:pPr>
              <w:pStyle w:val="Normal"/>
              <w:rPr>
                <w:sz w:val="20"/>
                <w:sz w:val="20"/>
                <w:szCs w:val="16"/>
                <w:rFonts w:ascii="Calibri" w:hAnsi="Calibri" w:eastAsia="Times New Roman" w:cs="Tahoma"/>
                <w:lang w:val="en-US"/>
              </w:rPr>
            </w:pPr>
            <w:r>
              <w:rPr>
                <w:rFonts w:cs="Tahoma" w:ascii="Calibri" w:hAnsi="Calibri"/>
                <w:sz w:val="20"/>
                <w:szCs w:val="16"/>
              </w:rPr>
            </w:r>
            <w:r/>
          </w:p>
          <w:p>
            <w:pPr>
              <w:pStyle w:val="Normal"/>
              <w:rPr>
                <w:sz w:val="20"/>
                <w:sz w:val="20"/>
                <w:szCs w:val="16"/>
                <w:rFonts w:ascii="Calibri" w:hAnsi="Calibri" w:eastAsia="Times New Roman" w:cs="Tahoma"/>
                <w:lang w:val="en-US"/>
              </w:rPr>
            </w:pPr>
            <w:r>
              <w:rPr>
                <w:rFonts w:cs="Tahoma" w:ascii="Calibri" w:hAnsi="Calibri"/>
                <w:sz w:val="20"/>
                <w:szCs w:val="16"/>
              </w:rPr>
            </w:r>
            <w:r/>
          </w:p>
          <w:p>
            <w:pPr>
              <w:pStyle w:val="Normal"/>
              <w:rPr>
                <w:sz w:val="20"/>
                <w:sz w:val="20"/>
                <w:szCs w:val="16"/>
                <w:rFonts w:ascii="Calibri" w:hAnsi="Calibri" w:eastAsia="Times New Roman" w:cs="Tahoma"/>
                <w:lang w:val="en-US"/>
              </w:rPr>
            </w:pPr>
            <w:r>
              <w:rPr>
                <w:rFonts w:cs="Tahoma" w:ascii="Calibri" w:hAnsi="Calibri"/>
                <w:sz w:val="20"/>
                <w:szCs w:val="16"/>
              </w:rPr>
            </w:r>
            <w:r/>
          </w:p>
          <w:p>
            <w:pPr>
              <w:pStyle w:val="Normal"/>
              <w:rPr>
                <w:sz w:val="20"/>
                <w:sz w:val="20"/>
                <w:szCs w:val="16"/>
                <w:rFonts w:ascii="Calibri" w:hAnsi="Calibri" w:eastAsia="Times New Roman" w:cs="Tahoma"/>
                <w:lang w:val="en-US"/>
              </w:rPr>
            </w:pPr>
            <w:r>
              <w:rPr>
                <w:rFonts w:cs="Tahoma" w:ascii="Calibri" w:hAnsi="Calibri"/>
                <w:sz w:val="20"/>
                <w:szCs w:val="16"/>
              </w:rPr>
            </w:r>
            <w:r/>
          </w:p>
          <w:p>
            <w:pPr>
              <w:pStyle w:val="Normal"/>
              <w:jc w:val="both"/>
              <w:rPr>
                <w:sz w:val="20"/>
                <w:sz w:val="20"/>
                <w:szCs w:val="16"/>
                <w:rFonts w:ascii="Calibri" w:hAnsi="Calibri" w:eastAsia="Times New Roman" w:cs="Tahoma"/>
                <w:lang w:val="en-US"/>
              </w:rPr>
            </w:pPr>
            <w:r>
              <w:rPr>
                <w:rFonts w:cs="Tahoma" w:ascii="Calibri" w:hAnsi="Calibri"/>
                <w:sz w:val="20"/>
                <w:szCs w:val="16"/>
              </w:rPr>
            </w:r>
            <w:r/>
          </w:p>
        </w:tc>
        <w:tc>
          <w:tcPr>
            <w:tcW w:w="13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sz w:val="20"/>
                <w:szCs w:val="16"/>
                <w:rFonts w:ascii="Calibri" w:hAnsi="Calibri" w:cs="Tahoma"/>
              </w:rPr>
            </w:pPr>
            <w:r>
              <w:rPr>
                <w:rFonts w:cs="Tahoma" w:ascii="Calibri" w:hAnsi="Calibri"/>
                <w:sz w:val="20"/>
                <w:szCs w:val="16"/>
              </w:rPr>
              <w:t>INR 2,28,53,237 /-</w:t>
            </w:r>
            <w:r/>
          </w:p>
          <w:p>
            <w:pPr>
              <w:pStyle w:val="Normal"/>
              <w:tabs>
                <w:tab w:val="left" w:pos="1020" w:leader="none"/>
              </w:tabs>
              <w:jc w:val="both"/>
              <w:rPr>
                <w:sz w:val="20"/>
                <w:sz w:val="20"/>
                <w:szCs w:val="16"/>
                <w:rFonts w:ascii="Calibri" w:hAnsi="Calibri" w:cs="Tahoma"/>
              </w:rPr>
            </w:pPr>
            <w:r>
              <w:rPr>
                <w:rFonts w:cs="Tahoma" w:ascii="Calibri" w:hAnsi="Calibri"/>
                <w:sz w:val="20"/>
                <w:szCs w:val="16"/>
              </w:rPr>
              <w:tab/>
            </w:r>
            <w:r/>
          </w:p>
        </w:tc>
      </w:tr>
    </w:tbl>
    <w:p>
      <w:pPr>
        <w:pStyle w:val="Normal"/>
        <w:jc w:val="both"/>
        <w:rPr>
          <w:sz w:val="22"/>
          <w:sz w:val="22"/>
          <w:szCs w:val="22"/>
          <w:rFonts w:ascii="Book Antiqua" w:hAnsi="Book Antiqua" w:eastAsia="Times New Roman" w:cs="Arial"/>
          <w:lang w:val="en-US"/>
        </w:rPr>
      </w:pPr>
      <w:r>
        <w:rPr>
          <w:rFonts w:cs="Arial" w:ascii="Book Antiqua" w:hAnsi="Book Antiqua"/>
          <w:sz w:val="22"/>
          <w:szCs w:val="22"/>
        </w:rPr>
      </w:r>
      <w:r/>
    </w:p>
    <w:p>
      <w:pPr>
        <w:pStyle w:val="Normal"/>
        <w:rPr>
          <w:sz w:val="22"/>
          <w:sz w:val="22"/>
          <w:szCs w:val="22"/>
          <w:rFonts w:ascii="Book Antiqua" w:hAnsi="Book Antiqua" w:cs="Arial"/>
        </w:rPr>
      </w:pPr>
      <w:r>
        <w:rPr>
          <w:rFonts w:cs="Arial" w:ascii="Book Antiqua" w:hAnsi="Book Antiqua"/>
          <w:sz w:val="22"/>
          <w:szCs w:val="22"/>
        </w:rPr>
        <w:t xml:space="preserve">For detailed terms and conditions of the sale, please log on to the website </w:t>
      </w:r>
      <w:hyperlink r:id="rId2">
        <w:r>
          <w:rPr>
            <w:rStyle w:val="InternetLink"/>
            <w:rFonts w:cs="Arial" w:ascii="Book Antiqua" w:hAnsi="Book Antiqua"/>
            <w:sz w:val="22"/>
            <w:szCs w:val="22"/>
          </w:rPr>
          <w:t>https://sarfaesi.auctiontiger.net</w:t>
        </w:r>
      </w:hyperlink>
      <w:r>
        <w:rPr>
          <w:rFonts w:cs="Arial" w:ascii="Book Antiqua" w:hAnsi="Book Antiqua"/>
          <w:sz w:val="22"/>
          <w:szCs w:val="22"/>
        </w:rPr>
        <w:br/>
      </w:r>
      <w:r/>
    </w:p>
    <w:p>
      <w:pPr>
        <w:pStyle w:val="Normal"/>
        <w:spacing w:lineRule="auto" w:line="276"/>
        <w:ind w:left="720" w:hanging="0"/>
        <w:rPr>
          <w:szCs w:val="22"/>
          <w:rFonts w:ascii="Book Antiqua" w:hAnsi="Book Antiqua" w:cs="Book Antiqua"/>
        </w:rPr>
      </w:pPr>
      <w:r>
        <w:rPr>
          <w:rFonts w:cs="Book Antiqua" w:ascii="Book Antiqua" w:hAnsi="Book Antiqua"/>
          <w:szCs w:val="22"/>
        </w:rPr>
        <w:t>TERMS AND CONDITIONS OF THE SALE OF IMMOVABLE PROPERTIES BY WAY OF E-AUCTION: -</w:t>
        <w:br/>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 xml:space="preserve">Date of Inspection of the Immovable Property is on </w:t>
      </w:r>
      <w:r>
        <w:rPr>
          <w:rFonts w:cs="Tahoma" w:ascii="Tahoma" w:hAnsi="Tahoma"/>
          <w:sz w:val="20"/>
        </w:rPr>
        <w:t xml:space="preserve">26th December 2020 </w:t>
      </w:r>
      <w:r>
        <w:rPr>
          <w:rFonts w:cs="Book Antiqua" w:ascii="Book Antiqua" w:hAnsi="Book Antiqua"/>
          <w:szCs w:val="22"/>
        </w:rPr>
        <w:t>between 11 am -3 pm.</w:t>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 xml:space="preserve">Last Date &amp; Time of submitting EMD : </w:t>
      </w:r>
      <w:r>
        <w:rPr>
          <w:rFonts w:cs="Tahoma" w:ascii="Tahoma" w:hAnsi="Tahoma"/>
          <w:sz w:val="20"/>
        </w:rPr>
        <w:t xml:space="preserve">01st January 2021 </w:t>
      </w:r>
      <w:r>
        <w:rPr>
          <w:rFonts w:cs="Book Antiqua" w:ascii="Book Antiqua" w:hAnsi="Book Antiqua"/>
          <w:szCs w:val="22"/>
        </w:rPr>
        <w:t xml:space="preserve">from 10:00 am to 1 :00 pm. </w:t>
      </w:r>
      <w:r/>
    </w:p>
    <w:p>
      <w:pPr>
        <w:pStyle w:val="Normal"/>
        <w:numPr>
          <w:ilvl w:val="0"/>
          <w:numId w:val="1"/>
        </w:numPr>
        <w:spacing w:lineRule="auto" w:line="276"/>
        <w:jc w:val="both"/>
      </w:pPr>
      <w:r>
        <w:rPr>
          <w:rFonts w:cs="Book Antiqua" w:ascii="Book Antiqua" w:hAnsi="Book Antiqua"/>
          <w:szCs w:val="22"/>
        </w:rPr>
        <w:t xml:space="preserve">The Auction Sale will be an Online E-Auction/Bidding through approved Service Provider M/s  E- Procurement Technologies Limited Help Line Nos. </w:t>
      </w:r>
      <w:r>
        <w:rPr>
          <w:rFonts w:cs="Book Antiqua" w:ascii="Book Antiqua" w:hAnsi="Book Antiqua"/>
          <w:color w:val="000000"/>
          <w:szCs w:val="22"/>
        </w:rPr>
        <w:t>079 – 6813 6880/</w:t>
      </w:r>
      <w:r>
        <w:rPr>
          <w:rFonts w:cs="Book Antiqua" w:ascii="Book Antiqua" w:hAnsi="Book Antiqua"/>
          <w:color w:val="000000"/>
          <w:szCs w:val="22"/>
        </w:rPr>
        <w:t xml:space="preserve">851/854/870 </w:t>
      </w:r>
      <w:r>
        <w:rPr>
          <w:rFonts w:cs="Book Antiqua" w:ascii="Book Antiqua" w:hAnsi="Book Antiqua"/>
          <w:szCs w:val="22"/>
        </w:rPr>
        <w:t xml:space="preserve"> Help Line E-mail id:  </w:t>
      </w:r>
      <w:hyperlink r:id="rId3">
        <w:r>
          <w:rPr>
            <w:rStyle w:val="InternetLink"/>
          </w:rPr>
          <w:t>support@auctiontiger.net</w:t>
        </w:r>
      </w:hyperlink>
      <w:r>
        <w:rPr>
          <w:rFonts w:cs="Book Antiqua" w:ascii="Book Antiqua" w:hAnsi="Book Antiqua"/>
          <w:szCs w:val="22"/>
        </w:rPr>
        <w:t xml:space="preserve"> through the web portal </w:t>
      </w:r>
      <w:hyperlink r:id="rId4">
        <w:r>
          <w:rPr>
            <w:rStyle w:val="InternetLink"/>
          </w:rPr>
          <w:t>https://sarfaesi.auctiontiger.net</w:t>
        </w:r>
      </w:hyperlink>
      <w:r>
        <w:rPr>
          <w:rFonts w:cs="Book Antiqua" w:ascii="Book Antiqua" w:hAnsi="Book Antiqua"/>
          <w:szCs w:val="22"/>
        </w:rPr>
        <w:t xml:space="preserve">; </w:t>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The Auction Sale will be held on 04/01/2021 between 2pm to 4 pm with auto-extensions for 5 (five) minutes in case a bid is placed in the last 5 minutes before the appointed closing time;</w:t>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 xml:space="preserve">The bid price to be submitted shall be above the Reserve Price fixed by the Authorised Officer (“AO”) and the bidders shall further improve their offer in multiples of </w:t>
      </w:r>
      <w:r>
        <w:rPr>
          <w:rFonts w:cs="Book Antiqua" w:ascii="Book Antiqua" w:hAnsi="Book Antiqua"/>
          <w:szCs w:val="22"/>
          <w:shd w:fill="FFFF00" w:val="clear"/>
        </w:rPr>
        <w:t>Rs. 10,000/- (Rupees Ten Thousand only).</w:t>
      </w:r>
      <w:r>
        <w:rPr>
          <w:rFonts w:cs="Book Antiqua" w:ascii="Book Antiqua" w:hAnsi="Book Antiqua"/>
          <w:szCs w:val="22"/>
        </w:rPr>
        <w:t xml:space="preserve"> </w:t>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The properties will not be sold below the Reserve Price set by the AO. The bid quoted below the Reserve Price shall be rejected and the EMD deposited shall be forfeited.</w:t>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 xml:space="preserve">The successful bidder shall have to pay 25% of the purchase amount (including Earnest Money) already paid within 24 hours of the closure of the E-Auction sale proceedings. The Balance 75% of the purchase price shall have to be paid within 15 (fifteen) days of confirmation of the sale by the </w:t>
      </w:r>
      <w:r>
        <w:rPr>
          <w:rFonts w:cs="Book Antiqua" w:ascii="Book Antiqua" w:hAnsi="Book Antiqua"/>
          <w:szCs w:val="22"/>
          <w:shd w:fill="FFFF00" w:val="clear"/>
        </w:rPr>
        <w:t>Financial Inst</w:t>
      </w:r>
      <w:r>
        <w:rPr>
          <w:rFonts w:cs="Book Antiqua" w:ascii="Book Antiqua" w:hAnsi="Book Antiqua"/>
          <w:szCs w:val="22"/>
        </w:rPr>
        <w:t xml:space="preserve">itution or such extended period as agreed upon in writing by and solely at the discretion of the AO failing which the </w:t>
      </w:r>
      <w:r>
        <w:rPr>
          <w:rFonts w:cs="Book Antiqua" w:ascii="Book Antiqua" w:hAnsi="Book Antiqua"/>
          <w:szCs w:val="22"/>
          <w:shd w:fill="FFFF00" w:val="clear"/>
        </w:rPr>
        <w:t>Financial Inst</w:t>
      </w:r>
      <w:r>
        <w:rPr>
          <w:rFonts w:cs="Book Antiqua" w:ascii="Book Antiqua" w:hAnsi="Book Antiqua"/>
          <w:szCs w:val="22"/>
        </w:rPr>
        <w:t>itution shall forfeit amounts already paid/deposited by the purchaser.</w:t>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 xml:space="preserve">Bidders are advised to visit the said website for Annexure and detailed Terms and Conditions of the sale before submitting their bids and participating in the proceedings. </w:t>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 xml:space="preserve">Bids shall be submitted online only in the prescribed format(s) with relevant details duly filled in. Bids submitted in any other format / incomplete bids are liable to be rejected. </w:t>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Annexure shall be accompanied by copies of the following KYC documents viz. (i) PAN Card (ii) Aadhar Card/Passport (iii) Current Address proof (iv) valid e-mail id (v) contact number (mobile/landline) (vi) Board Resolution to participate in the auction (for a company) etc. Scanned copies of the said documents shall be submitted to the e-mail id stated above. Earnest Money Deposit (EMD) as mentioned against each property described in the accompanying Sale Notice shall be deposited through Demand Draft.</w:t>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 xml:space="preserve">The bidders shall hold a valid e-mail id as all the relevant information from the Secured Creditor/the Service Provider may be conveyed through email only.  </w:t>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Prospective intending bidders may contact the Service Provider on the details mentioned above to avail online training on participating in the e-auction. However, neither the Authorized Officer nor the Secured Creditor nor the Service Provider shall be responsible for any technical lapses/internet outage/power failure etc.</w:t>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The EMD of the unsuccessful bidder will be returned of closure of the E-Auction proceedings.</w:t>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The sale is subject to confirmation by the Financial Institution. If the Borrower/Guarantor(s) pay the entire amount due to the Secured Creditor before the appointed date and time of e-auction, no sale will be concluded.</w:t>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 xml:space="preserve">To the best of knowledge and information of the AO, no other encumbrances exist on the aforesaid property, however the prospective tenderers are advised to do their own due diligence and conduct independent enquiries in regard to the title/encumbrances etc. The AO shall not be held responsible for any charge, lien, encumbrances, property tax or any other dues to the Government or anybody in respect to the aforesaid properties.  The properties are being sold with all the existing and future encumbrances whether known or unknown to the Secured Creditor.  </w:t>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 xml:space="preserve">The AO has the right to reject any tender/tenders (for either of the property) or even may cancel the e-auction without assigning any reasons thereof.   </w:t>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On compliance of terms of sale, AO shall issue ‘Sale Certificate ’ in favor of purchaser. All expenses relating to stamp duty, registration charges, conveyance, VAT, TDS etc. shall be borne by the purchaser.</w:t>
      </w:r>
      <w:r/>
    </w:p>
    <w:p>
      <w:pPr>
        <w:pStyle w:val="Normal"/>
        <w:numPr>
          <w:ilvl w:val="0"/>
          <w:numId w:val="1"/>
        </w:numPr>
        <w:spacing w:lineRule="auto" w:line="276"/>
        <w:jc w:val="both"/>
        <w:rPr>
          <w:szCs w:val="22"/>
          <w:rFonts w:ascii="Book Antiqua" w:hAnsi="Book Antiqua" w:cs="Book Antiqua"/>
        </w:rPr>
      </w:pPr>
      <w:r>
        <w:rPr>
          <w:rFonts w:cs="Book Antiqua" w:ascii="Book Antiqua" w:hAnsi="Book Antiqua"/>
          <w:szCs w:val="22"/>
        </w:rPr>
        <w:t>The sale is subject to the conditions prescribed in the SARFAESI Act 2002 (54 of 2002) and the conditions mentioned above.</w:t>
      </w:r>
      <w:r/>
    </w:p>
    <w:p>
      <w:pPr>
        <w:pStyle w:val="Normal"/>
        <w:spacing w:lineRule="auto" w:line="276"/>
        <w:jc w:val="both"/>
        <w:rPr>
          <w:szCs w:val="22"/>
          <w:rFonts w:ascii="Book Antiqua" w:hAnsi="Book Antiqua" w:cs="Book Antiqua"/>
        </w:rPr>
      </w:pPr>
      <w:r>
        <w:rPr>
          <w:rFonts w:cs="Book Antiqua" w:ascii="Book Antiqua" w:hAnsi="Book Antiqua"/>
          <w:szCs w:val="22"/>
        </w:rPr>
        <w:t xml:space="preserve">                                                                                                                                                                                                                                                                   </w:t>
      </w:r>
      <w:r/>
    </w:p>
    <w:p>
      <w:pPr>
        <w:pStyle w:val="Normal"/>
        <w:spacing w:lineRule="auto" w:line="276"/>
        <w:ind w:left="360" w:hanging="0"/>
        <w:rPr>
          <w:szCs w:val="22"/>
          <w:rFonts w:ascii="Book Antiqua" w:hAnsi="Book Antiqua" w:cs="Book Antiqua"/>
        </w:rPr>
      </w:pPr>
      <w:r>
        <w:rPr>
          <w:rFonts w:cs="Book Antiqua" w:ascii="Book Antiqua" w:hAnsi="Book Antiqua"/>
          <w:szCs w:val="22"/>
        </w:rPr>
        <w:t>Place: Kolkata</w:t>
        <w:tab/>
        <w:tab/>
        <w:tab/>
        <w:tab/>
        <w:tab/>
        <w:tab/>
        <w:tab/>
        <w:tab/>
        <w:tab/>
        <w:tab/>
        <w:tab/>
        <w:tab/>
        <w:tab/>
        <w:tab/>
        <w:tab/>
        <w:t xml:space="preserve">                                 </w:t>
      </w:r>
      <w:r/>
    </w:p>
    <w:p>
      <w:pPr>
        <w:pStyle w:val="Normal"/>
        <w:spacing w:lineRule="auto" w:line="276"/>
        <w:ind w:left="360" w:hanging="0"/>
        <w:rPr>
          <w:szCs w:val="22"/>
          <w:rFonts w:ascii="Book Antiqua" w:hAnsi="Book Antiqua" w:cs="Book Antiqua"/>
        </w:rPr>
      </w:pPr>
      <w:r>
        <w:rPr>
          <w:rFonts w:cs="Book Antiqua" w:ascii="Book Antiqua" w:hAnsi="Book Antiqua"/>
          <w:szCs w:val="22"/>
        </w:rPr>
        <w:t xml:space="preserve">Date: 30th November, 2020 </w:t>
        <w:tab/>
        <w:tab/>
        <w:tab/>
        <w:tab/>
        <w:tab/>
        <w:tab/>
        <w:tab/>
        <w:tab/>
        <w:tab/>
        <w:tab/>
        <w:tab/>
        <w:tab/>
        <w:t xml:space="preserve">       </w:t>
        <w:tab/>
        <w:tab/>
        <w:tab/>
        <w:t xml:space="preserve">                     Authorized Officer</w:t>
      </w:r>
      <w:r/>
    </w:p>
    <w:p>
      <w:pPr>
        <w:pStyle w:val="Normal"/>
        <w:spacing w:lineRule="auto" w:line="276"/>
        <w:rPr>
          <w:szCs w:val="22"/>
          <w:rFonts w:ascii="Book Antiqua" w:hAnsi="Book Antiqua" w:cs="Book Antiqua"/>
        </w:rPr>
      </w:pPr>
      <w:r>
        <w:rPr>
          <w:rFonts w:cs="Book Antiqua" w:ascii="Book Antiqua" w:hAnsi="Book Antiqua"/>
          <w:szCs w:val="22"/>
        </w:rPr>
        <w:t xml:space="preserve">                                                                       </w:t>
      </w:r>
      <w:r>
        <w:rPr>
          <w:rFonts w:cs="Book Antiqua" w:ascii="Book Antiqua" w:hAnsi="Book Antiqua"/>
          <w:szCs w:val="22"/>
        </w:rPr>
        <w:t>ADITYA BIRLA HOUSING  FINANCE LTD</w:t>
      </w:r>
      <w:r/>
    </w:p>
    <w:p>
      <w:pPr>
        <w:pStyle w:val="Normal"/>
      </w:pPr>
      <w:r>
        <w:rPr/>
      </w:r>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entury Gothic">
    <w:charset w:val="01"/>
    <w:family w:val="roman"/>
    <w:pitch w:val="variable"/>
  </w:font>
  <w:font w:name="Bitstream Charter">
    <w:charset w:val="01"/>
    <w:family w:val="roman"/>
    <w:pitch w:val="variable"/>
  </w:font>
  <w:font w:name="Book Antiqua">
    <w:charset w:val="01"/>
    <w:family w:val="roman"/>
    <w:pitch w:val="variable"/>
  </w:font>
  <w:font w:name="Tahoma">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N" w:eastAsia="en-US" w:bidi="ar-SA"/>
      </w:rPr>
    </w:rPrDefault>
    <w:pPrDefault>
      <w:pPr>
        <w:spacing w:lineRule="auto" w:line="256"/>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0"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rPr/>
  </w:style>
  <w:style w:type="character" w:styleId="InternetLink">
    <w:name w:val="Internet Link"/>
    <w:rPr>
      <w:color w:val="0000FF"/>
      <w:u w:val="single"/>
      <w:lang w:val="zxx" w:eastAsia="zxx" w:bidi="zxx"/>
    </w:rPr>
  </w:style>
  <w:style w:type="character" w:styleId="HeaderChar" w:customStyle="1">
    <w:name w:val="Header Char"/>
    <w:basedOn w:val="DefaultParagraphFont"/>
    <w:link w:val="Header"/>
    <w:uiPriority w:val="99"/>
    <w:rsid w:val="00260800"/>
    <w:rPr>
      <w:rFonts w:ascii="Times New Roman" w:hAnsi="Times New Roman" w:eastAsia="Times New Roman" w:cs="Times New Roman"/>
      <w:sz w:val="24"/>
      <w:szCs w:val="24"/>
      <w:lang w:val="en-US"/>
    </w:rPr>
  </w:style>
  <w:style w:type="character" w:styleId="FooterChar" w:customStyle="1">
    <w:name w:val="Footer Char"/>
    <w:basedOn w:val="DefaultParagraphFont"/>
    <w:link w:val="Footer"/>
    <w:uiPriority w:val="99"/>
    <w:rsid w:val="00260800"/>
    <w:rPr>
      <w:rFonts w:ascii="Times New Roman" w:hAnsi="Times New Roman" w:eastAsia="Times New Roman" w:cs="Times New Roman"/>
      <w:sz w:val="24"/>
      <w:szCs w:val="24"/>
      <w:lang w:val="en-US"/>
    </w:rPr>
  </w:style>
  <w:style w:type="character" w:styleId="ListLabel1">
    <w:name w:val="ListLabel 1"/>
    <w:rPr>
      <w:rFonts w:cs="Symbol"/>
    </w:rPr>
  </w:style>
  <w:style w:type="character" w:styleId="ListLabel2">
    <w:name w:val="ListLabel 2"/>
    <w:rPr>
      <w:rFonts w:cs="Symbol"/>
      <w:color w:val="000000"/>
    </w:rPr>
  </w:style>
  <w:style w:type="character" w:styleId="ListLabel3">
    <w:name w:val="ListLabel 3"/>
    <w:rPr>
      <w:rFonts w:cs="Courier New"/>
    </w:rPr>
  </w:style>
  <w:style w:type="paragraph" w:styleId="Heading">
    <w:name w:val="Heading"/>
    <w:basedOn w:val="Normal"/>
    <w:next w:val="TextBody"/>
    <w:pPr>
      <w:keepNext/>
      <w:spacing w:before="240" w:after="120"/>
    </w:pPr>
    <w:rPr>
      <w:rFonts w:ascii="Liberation Sans" w:hAnsi="Liberation Sans" w:eastAsia="AR PL UMing HK"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NoSpacing">
    <w:name w:val="No Spacing"/>
    <w:uiPriority w:val="1"/>
    <w:qFormat/>
    <w:pPr>
      <w:widowControl/>
      <w:suppressAutoHyphens w:val="true"/>
      <w:bidi w:val="0"/>
      <w:spacing w:lineRule="auto" w:line="240" w:before="0" w:after="0"/>
      <w:jc w:val="left"/>
    </w:pPr>
    <w:rPr>
      <w:rFonts w:ascii="Century Gothic" w:hAnsi="Century Gothic" w:eastAsia="Calibri" w:cs="c" w:eastAsiaTheme="minorHAnsi"/>
      <w:color w:val="auto"/>
      <w:sz w:val="24"/>
      <w:szCs w:val="21"/>
      <w:lang w:val="en-US" w:eastAsia="en-US" w:bidi="ar-SA"/>
    </w:rPr>
  </w:style>
  <w:style w:type="paragraph" w:styleId="ListParagraph">
    <w:name w:val="List Paragraph"/>
    <w:basedOn w:val="Normal"/>
    <w:uiPriority w:val="34"/>
    <w:qFormat/>
    <w:rsid w:val="00933fd7"/>
    <w:pPr>
      <w:ind w:left="720" w:hanging="0"/>
    </w:pPr>
    <w:rPr>
      <w:rFonts w:ascii="Calibri" w:hAnsi="Calibri" w:eastAsia="Calibri" w:cs="Calibri" w:eastAsiaTheme="minorHAnsi"/>
      <w:sz w:val="22"/>
      <w:szCs w:val="22"/>
      <w:lang w:val="en-IN"/>
    </w:rPr>
  </w:style>
  <w:style w:type="paragraph" w:styleId="Header">
    <w:name w:val="Header"/>
    <w:basedOn w:val="Normal"/>
    <w:link w:val="HeaderChar"/>
    <w:uiPriority w:val="99"/>
    <w:unhideWhenUsed/>
    <w:rsid w:val="00260800"/>
    <w:pPr>
      <w:tabs>
        <w:tab w:val="center" w:pos="4680" w:leader="none"/>
        <w:tab w:val="right" w:pos="9360" w:leader="none"/>
      </w:tabs>
    </w:pPr>
    <w:rPr/>
  </w:style>
  <w:style w:type="paragraph" w:styleId="Footer">
    <w:name w:val="Footer"/>
    <w:basedOn w:val="Normal"/>
    <w:link w:val="FooterChar"/>
    <w:uiPriority w:val="99"/>
    <w:unhideWhenUsed/>
    <w:rsid w:val="00260800"/>
    <w:pPr>
      <w:tabs>
        <w:tab w:val="center" w:pos="4680" w:leader="none"/>
        <w:tab w:val="right" w:pos="9360" w:leader="none"/>
      </w:tab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hyperlink" Target="mailto:support@auctiontiger.net" TargetMode="External"/><Relationship Id="rId7" Type="http://schemas.openxmlformats.org/officeDocument/2006/relationships/settings" Target="settings.xml"/><Relationship Id="rId2" Type="http://schemas.openxmlformats.org/officeDocument/2006/relationships/hyperlink" Target="https://sarfaesi.auctiontiger.net/" TargetMode="Externa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hyperlink" Target="https://sarfaesi.auctiontiger.net/"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07F2EE-6A70-4283-A284-F1196346EF52}"/>
</file>

<file path=customXml/itemProps2.xml><?xml version="1.0" encoding="utf-8"?>
<ds:datastoreItem xmlns:ds="http://schemas.openxmlformats.org/officeDocument/2006/customXml" ds:itemID="{319330FE-8188-46F1-A9D5-410B32F77EFD}"/>
</file>

<file path=customXml/itemProps3.xml><?xml version="1.0" encoding="utf-8"?>
<ds:datastoreItem xmlns:ds="http://schemas.openxmlformats.org/officeDocument/2006/customXml" ds:itemID="{99B316F2-32EA-48B0-AA87-DAF2992FE57E}"/>
</file>

<file path=docProps/app.xml><?xml version="1.0" encoding="utf-8"?>
<Properties xmlns="http://schemas.openxmlformats.org/officeDocument/2006/extended-properties" xmlns:vt="http://schemas.openxmlformats.org/officeDocument/2006/docPropsVTypes">
  <Template>Normal</Template>
  <TotalTime>8</TotalTime>
  <Application>LibreOffice/4.3.7.2$Linux_X86_64 LibreOffice_project/430$Build-2</Application>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Shetty</dc:creator>
  <cp:lastModifiedBy>Nimisha Karn</cp:lastModifiedBy>
  <cp:revision>35</cp:revision>
  <dcterms:created xsi:type="dcterms:W3CDTF">2020-11-27T12:36:00Z</dcterms:created>
  <dcterms:modified xsi:type="dcterms:W3CDTF">2020-12-02T15:33:58Z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